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8525E" w14:textId="77777777" w:rsidR="00D721E9" w:rsidRPr="00097CE5" w:rsidRDefault="00206481" w:rsidP="00D51089">
      <w:pPr>
        <w:pStyle w:val="REG-H1a"/>
      </w:pPr>
      <w:r w:rsidRPr="00097CE5">
        <w:rPr>
          <w:lang w:val="en-ZA" w:eastAsia="en-ZA"/>
        </w:rPr>
        <w:drawing>
          <wp:anchor distT="0" distB="0" distL="114300" distR="114300" simplePos="0" relativeHeight="251658240" behindDoc="0" locked="1" layoutInCell="0" allowOverlap="0" wp14:anchorId="5977B6F0" wp14:editId="60B1FF8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2B1CD005" w14:textId="77777777" w:rsidR="00EB7655" w:rsidRPr="00097CE5" w:rsidRDefault="009625C4" w:rsidP="00682D07">
      <w:pPr>
        <w:pStyle w:val="REG-H1d"/>
        <w:rPr>
          <w:lang w:val="en-GB"/>
        </w:rPr>
      </w:pPr>
      <w:r>
        <w:rPr>
          <w:lang w:val="en-GB"/>
        </w:rPr>
        <w:t xml:space="preserve">TARIFF OF FEES ISSUED </w:t>
      </w:r>
      <w:r w:rsidR="00206481" w:rsidRPr="00097CE5">
        <w:rPr>
          <w:lang w:val="en-GB"/>
        </w:rPr>
        <w:t>IN TERMS OF</w:t>
      </w:r>
    </w:p>
    <w:p w14:paraId="0B650A90" w14:textId="77777777" w:rsidR="00E2335D" w:rsidRPr="00097CE5" w:rsidRDefault="00E2335D" w:rsidP="00BD2B69">
      <w:pPr>
        <w:pStyle w:val="REG-H1d"/>
        <w:rPr>
          <w:lang w:val="en-GB"/>
        </w:rPr>
      </w:pPr>
    </w:p>
    <w:p w14:paraId="3E52F960" w14:textId="77777777" w:rsidR="00EB05F3" w:rsidRDefault="00203548" w:rsidP="00E2335D">
      <w:pPr>
        <w:pStyle w:val="REG-H1a"/>
      </w:pPr>
      <w:r>
        <w:t>Architects’</w:t>
      </w:r>
      <w:r w:rsidR="00206481">
        <w:t xml:space="preserve"> and Quantity Surveyors</w:t>
      </w:r>
      <w:r>
        <w:t>’</w:t>
      </w:r>
      <w:r w:rsidR="00206481">
        <w:t xml:space="preserve"> </w:t>
      </w:r>
    </w:p>
    <w:p w14:paraId="1035A128" w14:textId="77777777" w:rsidR="00E2335D" w:rsidRPr="00097CE5" w:rsidRDefault="00206481" w:rsidP="00E2335D">
      <w:pPr>
        <w:pStyle w:val="REG-H1a"/>
      </w:pPr>
      <w:r>
        <w:t>Act 13 of 1979</w:t>
      </w:r>
    </w:p>
    <w:p w14:paraId="747447BB" w14:textId="77777777" w:rsidR="00BD2B69" w:rsidRPr="00097CE5" w:rsidRDefault="00206481" w:rsidP="00BC6658">
      <w:pPr>
        <w:pStyle w:val="REG-H1b"/>
        <w:rPr>
          <w:b w:val="0"/>
        </w:rPr>
      </w:pPr>
      <w:r w:rsidRPr="00097CE5">
        <w:rPr>
          <w:b w:val="0"/>
        </w:rPr>
        <w:t xml:space="preserve">section </w:t>
      </w:r>
      <w:r w:rsidR="00EB05F3">
        <w:rPr>
          <w:b w:val="0"/>
        </w:rPr>
        <w:t>7</w:t>
      </w:r>
      <w:r w:rsidR="00BC6658" w:rsidRPr="00097CE5">
        <w:rPr>
          <w:b w:val="0"/>
        </w:rPr>
        <w:t>(</w:t>
      </w:r>
      <w:r w:rsidR="001C476B">
        <w:rPr>
          <w:b w:val="0"/>
        </w:rPr>
        <w:t>3</w:t>
      </w:r>
      <w:r w:rsidR="00BC6658" w:rsidRPr="00097CE5">
        <w:rPr>
          <w:b w:val="0"/>
        </w:rPr>
        <w:t>)</w:t>
      </w:r>
    </w:p>
    <w:p w14:paraId="2BF0C6B9" w14:textId="77777777" w:rsidR="00E2335D" w:rsidRPr="00097CE5" w:rsidRDefault="00E2335D" w:rsidP="00E2335D">
      <w:pPr>
        <w:pStyle w:val="REG-H1a"/>
        <w:pBdr>
          <w:bottom w:val="single" w:sz="4" w:space="1" w:color="auto"/>
        </w:pBdr>
      </w:pPr>
    </w:p>
    <w:p w14:paraId="4F046F5D" w14:textId="77777777" w:rsidR="00E2335D" w:rsidRPr="00097CE5" w:rsidRDefault="00E2335D" w:rsidP="00E2335D">
      <w:pPr>
        <w:pStyle w:val="REG-H1a"/>
      </w:pPr>
    </w:p>
    <w:p w14:paraId="7831198D" w14:textId="77777777" w:rsidR="00E2335D" w:rsidRPr="00097CE5" w:rsidRDefault="00206481" w:rsidP="00E2335D">
      <w:pPr>
        <w:pStyle w:val="REG-H1b"/>
      </w:pPr>
      <w:r w:rsidRPr="00EB05F3">
        <w:t>Tariff of Fees Chargeable by Architects and Quantity Surveyors</w:t>
      </w:r>
    </w:p>
    <w:p w14:paraId="0EAE1D1A" w14:textId="77777777" w:rsidR="00D2019F" w:rsidRPr="00097CE5" w:rsidRDefault="00206481" w:rsidP="00C838EC">
      <w:pPr>
        <w:pStyle w:val="REG-H1d"/>
        <w:rPr>
          <w:lang w:val="en-GB"/>
        </w:rPr>
      </w:pPr>
      <w:r w:rsidRPr="00097CE5">
        <w:rPr>
          <w:lang w:val="en-GB"/>
        </w:rPr>
        <w:t xml:space="preserve">Government Notice </w:t>
      </w:r>
      <w:r w:rsidR="00EB05F3">
        <w:rPr>
          <w:lang w:val="en-GB"/>
        </w:rPr>
        <w:t>250</w:t>
      </w:r>
      <w:r w:rsidR="005709A6" w:rsidRPr="00097CE5">
        <w:rPr>
          <w:lang w:val="en-GB"/>
        </w:rPr>
        <w:t xml:space="preserve"> </w:t>
      </w:r>
      <w:r w:rsidR="005C16B3" w:rsidRPr="00097CE5">
        <w:rPr>
          <w:lang w:val="en-GB"/>
        </w:rPr>
        <w:t>of</w:t>
      </w:r>
      <w:r w:rsidR="005709A6" w:rsidRPr="00097CE5">
        <w:rPr>
          <w:lang w:val="en-GB"/>
        </w:rPr>
        <w:t xml:space="preserve"> </w:t>
      </w:r>
      <w:r w:rsidR="00EB05F3">
        <w:rPr>
          <w:lang w:val="en-GB"/>
        </w:rPr>
        <w:t>1998</w:t>
      </w:r>
    </w:p>
    <w:p w14:paraId="489F310E" w14:textId="77777777" w:rsidR="003013D8" w:rsidRPr="00097CE5" w:rsidRDefault="00206481" w:rsidP="003013D8">
      <w:pPr>
        <w:pStyle w:val="REG-Amend"/>
      </w:pPr>
      <w:r w:rsidRPr="00097CE5">
        <w:t>(</w:t>
      </w:r>
      <w:hyperlink r:id="rId9" w:history="1">
        <w:r w:rsidR="001C476B" w:rsidRPr="00292131">
          <w:rPr>
            <w:u w:val="single"/>
          </w:rPr>
          <w:t>GG 1968</w:t>
        </w:r>
      </w:hyperlink>
      <w:r w:rsidRPr="00097CE5">
        <w:t>)</w:t>
      </w:r>
    </w:p>
    <w:p w14:paraId="1E29D249" w14:textId="77777777" w:rsidR="003013D8" w:rsidRDefault="00206481" w:rsidP="003013D8">
      <w:pPr>
        <w:pStyle w:val="REG-Amend"/>
      </w:pPr>
      <w:r w:rsidRPr="00097CE5">
        <w:t xml:space="preserve">came into force on date of publication: </w:t>
      </w:r>
      <w:r w:rsidR="00EB05F3">
        <w:t>6</w:t>
      </w:r>
      <w:r w:rsidRPr="00097CE5">
        <w:t xml:space="preserve"> </w:t>
      </w:r>
      <w:r w:rsidR="00EB05F3">
        <w:t>October</w:t>
      </w:r>
      <w:r w:rsidRPr="00097CE5">
        <w:t xml:space="preserve"> </w:t>
      </w:r>
      <w:r w:rsidR="00EB05F3">
        <w:t>1998</w:t>
      </w:r>
    </w:p>
    <w:p w14:paraId="4574F916" w14:textId="77777777" w:rsidR="00FA1D29" w:rsidRDefault="00FA1D29" w:rsidP="003013D8">
      <w:pPr>
        <w:pStyle w:val="REG-Amend"/>
      </w:pPr>
    </w:p>
    <w:p w14:paraId="33848E2B" w14:textId="6C8E7681" w:rsidR="00FA1D29" w:rsidRPr="00FA1D29" w:rsidRDefault="00FA1D29" w:rsidP="00FA1D29">
      <w:pPr>
        <w:pStyle w:val="REG-Amend"/>
      </w:pPr>
      <w:r w:rsidRPr="00FA1D29">
        <w:t xml:space="preserve">The Government Notice that issues this tariff of fees states that the Minister has </w:t>
      </w:r>
      <w:r>
        <w:br/>
      </w:r>
      <w:r w:rsidRPr="00FA1D29">
        <w:t>prescribed the minimum fees chargeable for professional services rendered</w:t>
      </w:r>
      <w:r w:rsidR="00174C1B">
        <w:t xml:space="preserve"> </w:t>
      </w:r>
      <w:r w:rsidRPr="00FA1D29">
        <w:t>-</w:t>
      </w:r>
    </w:p>
    <w:p w14:paraId="7F4EE4E7" w14:textId="77777777" w:rsidR="00FA1D29" w:rsidRPr="00FA1D29" w:rsidRDefault="00FA1D29" w:rsidP="00FA1D29">
      <w:pPr>
        <w:pStyle w:val="REG-Amend"/>
      </w:pPr>
      <w:r w:rsidRPr="00FA1D29">
        <w:tab/>
        <w:t>(a) by an architect, as set out in Schedule A to th</w:t>
      </w:r>
      <w:r>
        <w:t>e</w:t>
      </w:r>
      <w:r w:rsidRPr="00FA1D29">
        <w:t xml:space="preserve"> notice and</w:t>
      </w:r>
    </w:p>
    <w:p w14:paraId="10B07798" w14:textId="77777777" w:rsidR="00FA1D29" w:rsidRPr="00FA1D29" w:rsidRDefault="00FA1D29" w:rsidP="00FA1D29">
      <w:pPr>
        <w:pStyle w:val="REG-Amend"/>
      </w:pPr>
      <w:r w:rsidRPr="00FA1D29">
        <w:t>(b) by a quantity surveyor, as set out in Schedule B to th</w:t>
      </w:r>
      <w:r>
        <w:t>e</w:t>
      </w:r>
      <w:r w:rsidRPr="00FA1D29">
        <w:t xml:space="preserve"> notice</w:t>
      </w:r>
      <w:r>
        <w:t>.</w:t>
      </w:r>
    </w:p>
    <w:p w14:paraId="5CE8B77E" w14:textId="77777777" w:rsidR="00FA1D29" w:rsidRPr="00097CE5" w:rsidRDefault="00FA1D29" w:rsidP="00BD2B69">
      <w:pPr>
        <w:pStyle w:val="REG-H1c"/>
      </w:pPr>
    </w:p>
    <w:p w14:paraId="66D43C3B" w14:textId="77777777" w:rsidR="006737D3" w:rsidRPr="00097CE5" w:rsidRDefault="00206481" w:rsidP="00BD2B69">
      <w:pPr>
        <w:pStyle w:val="REG-H1c"/>
        <w:rPr>
          <w:rStyle w:val="REG-AmendChar"/>
          <w:rFonts w:eastAsiaTheme="minorHAnsi" w:cstheme="minorBidi"/>
          <w:b/>
          <w:sz w:val="24"/>
          <w:szCs w:val="24"/>
        </w:rPr>
      </w:pPr>
      <w:r w:rsidRPr="00097CE5">
        <w:rPr>
          <w:color w:val="00B050"/>
        </w:rPr>
        <w:t>as amended by</w:t>
      </w:r>
    </w:p>
    <w:p w14:paraId="77178D01" w14:textId="77777777" w:rsidR="006737D3" w:rsidRPr="00097CE5" w:rsidRDefault="006737D3" w:rsidP="00BD2B69">
      <w:pPr>
        <w:pStyle w:val="REG-H1c"/>
      </w:pPr>
    </w:p>
    <w:p w14:paraId="5D895CF1" w14:textId="77777777" w:rsidR="008938F7" w:rsidRDefault="003C6423" w:rsidP="00E86EEF">
      <w:pPr>
        <w:pStyle w:val="REG-H1c"/>
        <w:rPr>
          <w:rStyle w:val="REG-AmendChar"/>
          <w:rFonts w:eastAsiaTheme="minorHAnsi"/>
          <w:b/>
        </w:rPr>
      </w:pPr>
      <w:r>
        <w:t>Government Notice 221</w:t>
      </w:r>
      <w:r w:rsidR="00384F4C">
        <w:t xml:space="preserve"> of 2003</w:t>
      </w:r>
      <w:r w:rsidR="00E86EEF">
        <w:t xml:space="preserve"> </w:t>
      </w:r>
      <w:r w:rsidR="00206481" w:rsidRPr="00E86EEF">
        <w:rPr>
          <w:rStyle w:val="REG-AmendChar"/>
          <w:rFonts w:eastAsiaTheme="minorHAnsi"/>
          <w:b/>
        </w:rPr>
        <w:t>(</w:t>
      </w:r>
      <w:hyperlink r:id="rId10" w:history="1">
        <w:r w:rsidR="001C476B" w:rsidRPr="00292131">
          <w:rPr>
            <w:rStyle w:val="REG-AmendChar"/>
            <w:rFonts w:eastAsiaTheme="minorHAnsi"/>
            <w:b/>
            <w:bCs/>
            <w:u w:val="single"/>
          </w:rPr>
          <w:t>GG 3082</w:t>
        </w:r>
      </w:hyperlink>
      <w:r w:rsidR="00206481" w:rsidRPr="00E86EEF">
        <w:rPr>
          <w:rStyle w:val="REG-AmendChar"/>
          <w:rFonts w:eastAsiaTheme="minorHAnsi"/>
          <w:b/>
        </w:rPr>
        <w:t>)</w:t>
      </w:r>
    </w:p>
    <w:p w14:paraId="79BF73DF" w14:textId="77777777" w:rsidR="0081157F" w:rsidRPr="00097CE5" w:rsidRDefault="00206481" w:rsidP="0081157F">
      <w:pPr>
        <w:pStyle w:val="REG-Amend"/>
      </w:pPr>
      <w:r w:rsidRPr="00097CE5">
        <w:t xml:space="preserve">came into force on date of publication: </w:t>
      </w:r>
      <w:r>
        <w:t>31</w:t>
      </w:r>
      <w:r w:rsidRPr="00097CE5">
        <w:t xml:space="preserve"> </w:t>
      </w:r>
      <w:r>
        <w:t>October</w:t>
      </w:r>
      <w:r w:rsidR="00384F4C">
        <w:t xml:space="preserve"> </w:t>
      </w:r>
      <w:r>
        <w:t>2003</w:t>
      </w:r>
    </w:p>
    <w:p w14:paraId="40CD288C" w14:textId="77777777" w:rsidR="005955EA" w:rsidRPr="00097CE5" w:rsidRDefault="005955EA" w:rsidP="0087487C">
      <w:pPr>
        <w:pStyle w:val="REG-H1a"/>
        <w:pBdr>
          <w:bottom w:val="single" w:sz="4" w:space="1" w:color="auto"/>
        </w:pBdr>
      </w:pPr>
    </w:p>
    <w:p w14:paraId="19996A7D" w14:textId="77777777" w:rsidR="001121EE" w:rsidRPr="00097CE5" w:rsidRDefault="001121EE" w:rsidP="0087487C">
      <w:pPr>
        <w:pStyle w:val="REG-H1a"/>
      </w:pPr>
    </w:p>
    <w:p w14:paraId="2D96F8E8" w14:textId="77777777" w:rsidR="008938F7" w:rsidRPr="00097CE5" w:rsidRDefault="00206481" w:rsidP="00C36B55">
      <w:pPr>
        <w:pStyle w:val="REG-H2"/>
      </w:pPr>
      <w:r w:rsidRPr="00097CE5">
        <w:t xml:space="preserve">ARRANGEMENT OF </w:t>
      </w:r>
      <w:r w:rsidR="00F13A6F">
        <w:t>FEES</w:t>
      </w:r>
    </w:p>
    <w:p w14:paraId="13D7984D" w14:textId="77777777" w:rsidR="003905F1" w:rsidRPr="00097CE5" w:rsidRDefault="003905F1" w:rsidP="00914280">
      <w:pPr>
        <w:pStyle w:val="REG-P0"/>
        <w:rPr>
          <w:color w:val="00B050"/>
        </w:rPr>
      </w:pPr>
    </w:p>
    <w:p w14:paraId="50FA8868" w14:textId="77777777" w:rsidR="00817B5C" w:rsidRPr="00097CE5" w:rsidRDefault="00206481" w:rsidP="00F9665E">
      <w:pPr>
        <w:pStyle w:val="REG-H3A"/>
        <w:rPr>
          <w:color w:val="00B050"/>
        </w:rPr>
      </w:pPr>
      <w:r>
        <w:rPr>
          <w:color w:val="00B050"/>
        </w:rPr>
        <w:t>schedule A</w:t>
      </w:r>
    </w:p>
    <w:p w14:paraId="364FCDBB" w14:textId="77777777" w:rsidR="002252DD" w:rsidRPr="00097CE5" w:rsidRDefault="00206481" w:rsidP="00F9665E">
      <w:pPr>
        <w:pStyle w:val="REG-H3b"/>
        <w:rPr>
          <w:color w:val="00B050"/>
        </w:rPr>
      </w:pPr>
      <w:r>
        <w:rPr>
          <w:color w:val="00B050"/>
        </w:rPr>
        <w:t xml:space="preserve">TARIFF OF FEES TO WHICH AN ARCHITECT </w:t>
      </w:r>
      <w:r w:rsidR="009910E8">
        <w:rPr>
          <w:color w:val="00B050"/>
        </w:rPr>
        <w:br/>
      </w:r>
      <w:r>
        <w:rPr>
          <w:color w:val="00B050"/>
        </w:rPr>
        <w:t>IS ENTITLED FOR SERVICES RENDERED</w:t>
      </w:r>
    </w:p>
    <w:p w14:paraId="2E945182" w14:textId="77777777" w:rsidR="00817B5C" w:rsidRPr="00097CE5" w:rsidRDefault="00817B5C" w:rsidP="00817B5C">
      <w:pPr>
        <w:pStyle w:val="REG-P0"/>
        <w:rPr>
          <w:color w:val="00B050"/>
        </w:rPr>
      </w:pPr>
    </w:p>
    <w:p w14:paraId="0B07A226" w14:textId="77777777" w:rsidR="00F13A6F" w:rsidRPr="00097CE5" w:rsidRDefault="00206481" w:rsidP="00F13A6F">
      <w:pPr>
        <w:pStyle w:val="REG-P0"/>
        <w:rPr>
          <w:color w:val="00B050"/>
        </w:rPr>
      </w:pPr>
      <w:r w:rsidRPr="00097CE5">
        <w:rPr>
          <w:color w:val="00B050"/>
        </w:rPr>
        <w:t>1.</w:t>
      </w:r>
      <w:r w:rsidRPr="00097CE5">
        <w:rPr>
          <w:color w:val="00B050"/>
        </w:rPr>
        <w:tab/>
      </w:r>
      <w:r>
        <w:rPr>
          <w:color w:val="00B050"/>
        </w:rPr>
        <w:t>Definitions</w:t>
      </w:r>
    </w:p>
    <w:p w14:paraId="3EE44EF1" w14:textId="77777777" w:rsidR="00F13A6F" w:rsidRDefault="00206481" w:rsidP="00F13A6F">
      <w:pPr>
        <w:pStyle w:val="REG-P0"/>
        <w:rPr>
          <w:color w:val="00B050"/>
        </w:rPr>
      </w:pPr>
      <w:r w:rsidRPr="00097CE5">
        <w:rPr>
          <w:color w:val="00B050"/>
        </w:rPr>
        <w:t>2.</w:t>
      </w:r>
      <w:r w:rsidRPr="00097CE5">
        <w:rPr>
          <w:color w:val="00B050"/>
        </w:rPr>
        <w:tab/>
      </w:r>
      <w:r>
        <w:rPr>
          <w:color w:val="00B050"/>
        </w:rPr>
        <w:t>Remuneration</w:t>
      </w:r>
    </w:p>
    <w:p w14:paraId="57B543CC" w14:textId="77777777" w:rsidR="00F13A6F" w:rsidRDefault="00206481" w:rsidP="00F13A6F">
      <w:pPr>
        <w:pStyle w:val="REG-P0"/>
        <w:rPr>
          <w:color w:val="00B050"/>
        </w:rPr>
      </w:pPr>
      <w:r>
        <w:rPr>
          <w:color w:val="00B050"/>
        </w:rPr>
        <w:t>3.</w:t>
      </w:r>
      <w:r>
        <w:rPr>
          <w:color w:val="00B050"/>
        </w:rPr>
        <w:tab/>
        <w:t>Standard services</w:t>
      </w:r>
    </w:p>
    <w:p w14:paraId="5FF6D78D" w14:textId="77777777" w:rsidR="00F13A6F" w:rsidRDefault="00206481" w:rsidP="00F13A6F">
      <w:pPr>
        <w:pStyle w:val="REG-P0"/>
        <w:rPr>
          <w:color w:val="00B050"/>
        </w:rPr>
      </w:pPr>
      <w:r>
        <w:rPr>
          <w:color w:val="00B050"/>
        </w:rPr>
        <w:t>4.</w:t>
      </w:r>
      <w:r>
        <w:rPr>
          <w:color w:val="00B050"/>
        </w:rPr>
        <w:tab/>
        <w:t>Supplementary services</w:t>
      </w:r>
    </w:p>
    <w:p w14:paraId="1BB83263" w14:textId="77777777" w:rsidR="00F13A6F" w:rsidRDefault="00206481" w:rsidP="00F13A6F">
      <w:pPr>
        <w:pStyle w:val="REG-P0"/>
        <w:rPr>
          <w:color w:val="00B050"/>
        </w:rPr>
      </w:pPr>
      <w:r>
        <w:rPr>
          <w:color w:val="00B050"/>
        </w:rPr>
        <w:t>5.</w:t>
      </w:r>
      <w:r>
        <w:rPr>
          <w:color w:val="00B050"/>
        </w:rPr>
        <w:tab/>
        <w:t>Fees for standard services</w:t>
      </w:r>
    </w:p>
    <w:p w14:paraId="0471C49A" w14:textId="77777777" w:rsidR="00F13A6F" w:rsidRDefault="00206481" w:rsidP="00F13A6F">
      <w:pPr>
        <w:pStyle w:val="REG-P0"/>
        <w:rPr>
          <w:color w:val="00B050"/>
        </w:rPr>
      </w:pPr>
      <w:r>
        <w:rPr>
          <w:color w:val="00B050"/>
        </w:rPr>
        <w:t>6.</w:t>
      </w:r>
      <w:r>
        <w:rPr>
          <w:color w:val="00B050"/>
        </w:rPr>
        <w:tab/>
        <w:t>Additions and alterations to existing buildings</w:t>
      </w:r>
    </w:p>
    <w:p w14:paraId="1B900A1C" w14:textId="77777777" w:rsidR="00F13A6F" w:rsidRDefault="00206481" w:rsidP="00F13A6F">
      <w:pPr>
        <w:pStyle w:val="REG-P0"/>
        <w:ind w:left="567" w:hanging="567"/>
        <w:rPr>
          <w:color w:val="00B050"/>
        </w:rPr>
      </w:pPr>
      <w:r>
        <w:rPr>
          <w:color w:val="00B050"/>
        </w:rPr>
        <w:t>7.</w:t>
      </w:r>
      <w:r>
        <w:rPr>
          <w:color w:val="00B050"/>
        </w:rPr>
        <w:tab/>
        <w:t>Apportionment of fees between stages and basis of payment for works as described in paragraph 3</w:t>
      </w:r>
    </w:p>
    <w:p w14:paraId="7FE0968E" w14:textId="77777777" w:rsidR="00F13A6F" w:rsidRDefault="00206481" w:rsidP="00F13A6F">
      <w:pPr>
        <w:pStyle w:val="REG-P0"/>
        <w:ind w:left="567" w:hanging="567"/>
        <w:rPr>
          <w:color w:val="00B050"/>
        </w:rPr>
      </w:pPr>
      <w:r>
        <w:rPr>
          <w:color w:val="00B050"/>
        </w:rPr>
        <w:lastRenderedPageBreak/>
        <w:t>8.</w:t>
      </w:r>
      <w:r>
        <w:rPr>
          <w:color w:val="00B050"/>
        </w:rPr>
        <w:tab/>
        <w:t>Partial standard services</w:t>
      </w:r>
    </w:p>
    <w:p w14:paraId="65FCC33D" w14:textId="77777777" w:rsidR="00F13A6F" w:rsidRDefault="00206481" w:rsidP="00F13A6F">
      <w:pPr>
        <w:pStyle w:val="REG-P0"/>
        <w:ind w:left="567" w:hanging="567"/>
        <w:rPr>
          <w:color w:val="00B050"/>
        </w:rPr>
      </w:pPr>
      <w:r>
        <w:rPr>
          <w:color w:val="00B050"/>
        </w:rPr>
        <w:t>9.</w:t>
      </w:r>
      <w:r>
        <w:rPr>
          <w:color w:val="00B050"/>
        </w:rPr>
        <w:tab/>
        <w:t>Fees for repeated buildings</w:t>
      </w:r>
    </w:p>
    <w:p w14:paraId="2CDAEC87" w14:textId="77777777" w:rsidR="00F13A6F" w:rsidRDefault="00206481" w:rsidP="00F13A6F">
      <w:pPr>
        <w:pStyle w:val="REG-P0"/>
        <w:ind w:left="567" w:hanging="567"/>
        <w:rPr>
          <w:color w:val="00B050"/>
        </w:rPr>
      </w:pPr>
      <w:r>
        <w:rPr>
          <w:color w:val="00B050"/>
        </w:rPr>
        <w:t>10.</w:t>
      </w:r>
      <w:r>
        <w:rPr>
          <w:color w:val="00B050"/>
        </w:rPr>
        <w:tab/>
        <w:t>Termination or deferment</w:t>
      </w:r>
    </w:p>
    <w:p w14:paraId="65B0CA10" w14:textId="77777777" w:rsidR="00F13A6F" w:rsidRDefault="00206481" w:rsidP="00F13A6F">
      <w:pPr>
        <w:pStyle w:val="REG-P0"/>
        <w:ind w:left="567" w:hanging="567"/>
        <w:rPr>
          <w:color w:val="00B050"/>
        </w:rPr>
      </w:pPr>
      <w:r>
        <w:rPr>
          <w:color w:val="00B050"/>
        </w:rPr>
        <w:t>11.</w:t>
      </w:r>
      <w:r>
        <w:rPr>
          <w:color w:val="00B050"/>
        </w:rPr>
        <w:tab/>
        <w:t>Termination of engagement</w:t>
      </w:r>
    </w:p>
    <w:p w14:paraId="4A44AB8B" w14:textId="77777777" w:rsidR="00F13A6F" w:rsidRDefault="00206481" w:rsidP="00F13A6F">
      <w:pPr>
        <w:pStyle w:val="REG-P0"/>
        <w:ind w:left="567" w:hanging="567"/>
        <w:rPr>
          <w:color w:val="00B050"/>
        </w:rPr>
      </w:pPr>
      <w:r>
        <w:rPr>
          <w:color w:val="00B050"/>
        </w:rPr>
        <w:t>12.</w:t>
      </w:r>
      <w:r>
        <w:rPr>
          <w:color w:val="00B050"/>
        </w:rPr>
        <w:tab/>
        <w:t>Damage to or destruction of works</w:t>
      </w:r>
    </w:p>
    <w:p w14:paraId="4775C445" w14:textId="77777777" w:rsidR="00F13A6F" w:rsidRDefault="00206481" w:rsidP="00F13A6F">
      <w:pPr>
        <w:pStyle w:val="REG-P0"/>
        <w:ind w:left="567" w:hanging="567"/>
        <w:rPr>
          <w:color w:val="00B050"/>
        </w:rPr>
      </w:pPr>
      <w:r>
        <w:rPr>
          <w:color w:val="00B050"/>
        </w:rPr>
        <w:t>13.</w:t>
      </w:r>
      <w:r>
        <w:rPr>
          <w:color w:val="00B050"/>
        </w:rPr>
        <w:tab/>
        <w:t>Escalation</w:t>
      </w:r>
    </w:p>
    <w:p w14:paraId="0BF75D91" w14:textId="77777777" w:rsidR="00F13A6F" w:rsidRDefault="00206481" w:rsidP="00F13A6F">
      <w:pPr>
        <w:pStyle w:val="REG-P0"/>
        <w:ind w:left="567" w:hanging="567"/>
        <w:rPr>
          <w:color w:val="00B050"/>
        </w:rPr>
      </w:pPr>
      <w:r>
        <w:rPr>
          <w:color w:val="00B050"/>
        </w:rPr>
        <w:t>14.</w:t>
      </w:r>
      <w:r>
        <w:rPr>
          <w:color w:val="00B050"/>
        </w:rPr>
        <w:tab/>
        <w:t>Time charges</w:t>
      </w:r>
    </w:p>
    <w:p w14:paraId="2BCD36A1" w14:textId="77777777" w:rsidR="00F13A6F" w:rsidRDefault="00206481" w:rsidP="00F13A6F">
      <w:pPr>
        <w:pStyle w:val="REG-P0"/>
        <w:ind w:left="567" w:hanging="567"/>
        <w:rPr>
          <w:color w:val="00B050"/>
        </w:rPr>
      </w:pPr>
      <w:r>
        <w:rPr>
          <w:color w:val="00B050"/>
        </w:rPr>
        <w:t>15.</w:t>
      </w:r>
      <w:r>
        <w:rPr>
          <w:color w:val="00B050"/>
        </w:rPr>
        <w:tab/>
        <w:t>Disbursements</w:t>
      </w:r>
    </w:p>
    <w:p w14:paraId="7AB585BE" w14:textId="77777777" w:rsidR="00F13A6F" w:rsidRDefault="00206481" w:rsidP="00F13A6F">
      <w:pPr>
        <w:pStyle w:val="REG-P0"/>
        <w:ind w:left="567" w:hanging="567"/>
        <w:rPr>
          <w:color w:val="00B050"/>
        </w:rPr>
      </w:pPr>
      <w:r>
        <w:rPr>
          <w:color w:val="00B050"/>
        </w:rPr>
        <w:t>16.</w:t>
      </w:r>
      <w:r>
        <w:rPr>
          <w:color w:val="00B050"/>
        </w:rPr>
        <w:tab/>
        <w:t xml:space="preserve">Commencement </w:t>
      </w:r>
    </w:p>
    <w:p w14:paraId="20D8C043" w14:textId="77777777" w:rsidR="00F13A6F" w:rsidRDefault="00206481" w:rsidP="00F13A6F">
      <w:pPr>
        <w:pStyle w:val="REG-P0"/>
        <w:ind w:left="567" w:hanging="567"/>
        <w:rPr>
          <w:color w:val="00B050"/>
        </w:rPr>
      </w:pPr>
      <w:r>
        <w:rPr>
          <w:color w:val="00B050"/>
        </w:rPr>
        <w:t>17.</w:t>
      </w:r>
      <w:r>
        <w:rPr>
          <w:color w:val="00B050"/>
        </w:rPr>
        <w:tab/>
        <w:t>Annual adjustment</w:t>
      </w:r>
    </w:p>
    <w:p w14:paraId="36549618" w14:textId="77777777" w:rsidR="00592E14" w:rsidRDefault="00592E14" w:rsidP="00F13A6F">
      <w:pPr>
        <w:pStyle w:val="REG-P0"/>
        <w:ind w:left="567" w:hanging="567"/>
        <w:rPr>
          <w:color w:val="00B050"/>
        </w:rPr>
      </w:pPr>
    </w:p>
    <w:p w14:paraId="660EE2B2" w14:textId="77777777" w:rsidR="00F13A6F" w:rsidRDefault="00206481" w:rsidP="00817B5C">
      <w:pPr>
        <w:pStyle w:val="REG-P0"/>
        <w:rPr>
          <w:color w:val="00B050"/>
        </w:rPr>
      </w:pPr>
      <w:bookmarkStart w:id="0" w:name="_GoBack"/>
      <w:r>
        <w:rPr>
          <w:color w:val="00B050"/>
        </w:rPr>
        <w:t>ANNEXURE</w:t>
      </w:r>
      <w:bookmarkEnd w:id="0"/>
      <w:r>
        <w:rPr>
          <w:color w:val="00B050"/>
        </w:rPr>
        <w:t xml:space="preserve"> 1: Percentage of fees for works</w:t>
      </w:r>
    </w:p>
    <w:p w14:paraId="641BA78B" w14:textId="77777777" w:rsidR="00F13A6F" w:rsidRDefault="00206481" w:rsidP="00817B5C">
      <w:pPr>
        <w:pStyle w:val="REG-P0"/>
        <w:rPr>
          <w:color w:val="00B050"/>
        </w:rPr>
      </w:pPr>
      <w:r>
        <w:rPr>
          <w:color w:val="00B050"/>
        </w:rPr>
        <w:t>ANNEXURE 2: Hourly rates</w:t>
      </w:r>
    </w:p>
    <w:p w14:paraId="13F77A62" w14:textId="77777777" w:rsidR="00F13A6F" w:rsidRPr="00097CE5" w:rsidRDefault="00F13A6F" w:rsidP="00817B5C">
      <w:pPr>
        <w:pStyle w:val="REG-P0"/>
        <w:rPr>
          <w:color w:val="00B050"/>
        </w:rPr>
      </w:pPr>
    </w:p>
    <w:p w14:paraId="181EB0E2" w14:textId="77777777" w:rsidR="00817B5C" w:rsidRPr="00097CE5" w:rsidRDefault="00206481" w:rsidP="00F9665E">
      <w:pPr>
        <w:pStyle w:val="REG-H3A"/>
        <w:rPr>
          <w:color w:val="00B050"/>
        </w:rPr>
      </w:pPr>
      <w:r>
        <w:rPr>
          <w:color w:val="00B050"/>
        </w:rPr>
        <w:t>schedule B</w:t>
      </w:r>
    </w:p>
    <w:p w14:paraId="6C74992D" w14:textId="77777777" w:rsidR="00F13A6F" w:rsidRDefault="00206481" w:rsidP="00F9665E">
      <w:pPr>
        <w:pStyle w:val="REG-H3b"/>
        <w:rPr>
          <w:color w:val="00B050"/>
        </w:rPr>
      </w:pPr>
      <w:r>
        <w:rPr>
          <w:color w:val="00B050"/>
        </w:rPr>
        <w:t xml:space="preserve">TARIFF OF PROFESSIONAL FEES IN RESPECT OF SERVICES </w:t>
      </w:r>
    </w:p>
    <w:p w14:paraId="502553B3" w14:textId="77777777" w:rsidR="00DB4BA9" w:rsidRPr="00097CE5" w:rsidRDefault="00206481" w:rsidP="00F9665E">
      <w:pPr>
        <w:pStyle w:val="REG-H3b"/>
        <w:rPr>
          <w:color w:val="00B050"/>
        </w:rPr>
      </w:pPr>
      <w:r>
        <w:rPr>
          <w:color w:val="00B050"/>
        </w:rPr>
        <w:t>RENDERED BY A QUANTITY SURVEYOR</w:t>
      </w:r>
    </w:p>
    <w:p w14:paraId="4308D9B6" w14:textId="77777777" w:rsidR="00484E43" w:rsidRPr="00097CE5" w:rsidRDefault="00484E43" w:rsidP="00C63501">
      <w:pPr>
        <w:pStyle w:val="REG-P0"/>
      </w:pPr>
    </w:p>
    <w:p w14:paraId="4594F33C" w14:textId="77777777" w:rsidR="000B26CE" w:rsidRDefault="00206481" w:rsidP="000B26CE">
      <w:pPr>
        <w:pStyle w:val="REG-P0"/>
        <w:rPr>
          <w:color w:val="00B050"/>
        </w:rPr>
      </w:pPr>
      <w:r>
        <w:rPr>
          <w:color w:val="00B050"/>
        </w:rPr>
        <w:t>1.</w:t>
      </w:r>
      <w:r>
        <w:rPr>
          <w:color w:val="00B050"/>
        </w:rPr>
        <w:tab/>
        <w:t>Definitions</w:t>
      </w:r>
    </w:p>
    <w:p w14:paraId="7E440FA6" w14:textId="77777777" w:rsidR="00104224" w:rsidRDefault="00206481" w:rsidP="000B26CE">
      <w:pPr>
        <w:pStyle w:val="REG-P0"/>
        <w:rPr>
          <w:color w:val="00B050"/>
        </w:rPr>
      </w:pPr>
      <w:r>
        <w:rPr>
          <w:color w:val="00B050"/>
        </w:rPr>
        <w:t>2.</w:t>
      </w:r>
      <w:r>
        <w:rPr>
          <w:color w:val="00B050"/>
        </w:rPr>
        <w:tab/>
        <w:t>Fees</w:t>
      </w:r>
    </w:p>
    <w:p w14:paraId="14193EC1" w14:textId="77777777" w:rsidR="00104224" w:rsidRDefault="00206481" w:rsidP="000B26CE">
      <w:pPr>
        <w:pStyle w:val="REG-P0"/>
        <w:rPr>
          <w:color w:val="00B050"/>
        </w:rPr>
      </w:pPr>
      <w:r>
        <w:rPr>
          <w:color w:val="00B050"/>
        </w:rPr>
        <w:t>3.</w:t>
      </w:r>
      <w:r>
        <w:rPr>
          <w:color w:val="00B050"/>
        </w:rPr>
        <w:tab/>
        <w:t>Disbursement and travelling expenses</w:t>
      </w:r>
    </w:p>
    <w:p w14:paraId="278937E0" w14:textId="77777777" w:rsidR="00104224" w:rsidRDefault="00206481" w:rsidP="000B26CE">
      <w:pPr>
        <w:pStyle w:val="REG-P0"/>
        <w:rPr>
          <w:color w:val="00B050"/>
        </w:rPr>
      </w:pPr>
      <w:r>
        <w:rPr>
          <w:color w:val="00B050"/>
        </w:rPr>
        <w:t>4.</w:t>
      </w:r>
      <w:r>
        <w:rPr>
          <w:color w:val="00B050"/>
        </w:rPr>
        <w:tab/>
        <w:t>Interim payment of fees</w:t>
      </w:r>
    </w:p>
    <w:p w14:paraId="563143F9" w14:textId="77777777" w:rsidR="00104224" w:rsidRPr="00097CE5" w:rsidRDefault="00206481" w:rsidP="00104224">
      <w:pPr>
        <w:pStyle w:val="REG-P0"/>
        <w:jc w:val="left"/>
        <w:rPr>
          <w:color w:val="00B050"/>
        </w:rPr>
      </w:pPr>
      <w:r>
        <w:rPr>
          <w:color w:val="00B050"/>
        </w:rPr>
        <w:t>5.</w:t>
      </w:r>
      <w:r>
        <w:rPr>
          <w:color w:val="00B050"/>
        </w:rPr>
        <w:tab/>
        <w:t>Late payment of accounts</w:t>
      </w:r>
    </w:p>
    <w:p w14:paraId="3B0978C1" w14:textId="77777777" w:rsidR="00FA7FE6" w:rsidRPr="00097CE5" w:rsidRDefault="00FA7FE6" w:rsidP="00B0347D">
      <w:pPr>
        <w:pStyle w:val="REG-H1a"/>
        <w:pBdr>
          <w:bottom w:val="single" w:sz="4" w:space="1" w:color="auto"/>
        </w:pBdr>
      </w:pPr>
    </w:p>
    <w:p w14:paraId="756A6105" w14:textId="77777777" w:rsidR="00342850" w:rsidRDefault="00342850" w:rsidP="00342850">
      <w:pPr>
        <w:pStyle w:val="REG-H1a"/>
      </w:pPr>
    </w:p>
    <w:p w14:paraId="0D190603" w14:textId="77777777" w:rsidR="0003275B" w:rsidRDefault="00384F4C" w:rsidP="009C6634">
      <w:pPr>
        <w:pStyle w:val="REG-Amend"/>
      </w:pPr>
      <w:r w:rsidRPr="009C6634">
        <w:t xml:space="preserve">[The bold lettering in some provisions is reproduced as in the </w:t>
      </w:r>
      <w:r w:rsidRPr="009C6634">
        <w:rPr>
          <w:i/>
        </w:rPr>
        <w:t>Government Gazette</w:t>
      </w:r>
      <w:r w:rsidRPr="009C6634">
        <w:t>.</w:t>
      </w:r>
    </w:p>
    <w:p w14:paraId="14086B0C" w14:textId="77777777" w:rsidR="00384F4C" w:rsidRPr="009C6634" w:rsidRDefault="0003275B" w:rsidP="009C6634">
      <w:pPr>
        <w:pStyle w:val="REG-Amend"/>
      </w:pPr>
      <w:r>
        <w:t xml:space="preserve">Some of the regulation headings in the </w:t>
      </w:r>
      <w:r w:rsidRPr="0003275B">
        <w:rPr>
          <w:i/>
        </w:rPr>
        <w:t>Government Gazette</w:t>
      </w:r>
      <w:r>
        <w:t xml:space="preserve"> have semicolons or colons </w:t>
      </w:r>
      <w:r>
        <w:br/>
        <w:t>at the end, as reproduced here.</w:t>
      </w:r>
      <w:r w:rsidR="00384F4C" w:rsidRPr="009C6634">
        <w:t>]</w:t>
      </w:r>
    </w:p>
    <w:p w14:paraId="21FF698D" w14:textId="77777777" w:rsidR="00384F4C" w:rsidRPr="00097CE5" w:rsidRDefault="00384F4C" w:rsidP="00342850">
      <w:pPr>
        <w:pStyle w:val="REG-H1a"/>
      </w:pPr>
    </w:p>
    <w:p w14:paraId="5E8116EB" w14:textId="77777777" w:rsidR="00592E14" w:rsidRPr="00592E14" w:rsidRDefault="00206481" w:rsidP="00592E14">
      <w:pPr>
        <w:pStyle w:val="REG-H3b"/>
        <w:rPr>
          <w:b/>
        </w:rPr>
      </w:pPr>
      <w:r w:rsidRPr="00592E14">
        <w:rPr>
          <w:b/>
        </w:rPr>
        <w:t>SCHEDULE A</w:t>
      </w:r>
    </w:p>
    <w:p w14:paraId="19592744" w14:textId="77777777" w:rsidR="00592E14" w:rsidRPr="00592E14" w:rsidRDefault="00592E14" w:rsidP="00592E14">
      <w:pPr>
        <w:pStyle w:val="REG-H3b"/>
        <w:rPr>
          <w:b/>
        </w:rPr>
      </w:pPr>
    </w:p>
    <w:p w14:paraId="0C4412C7" w14:textId="77777777" w:rsidR="00592E14" w:rsidRPr="00592E14" w:rsidRDefault="00206481" w:rsidP="00592E14">
      <w:pPr>
        <w:pStyle w:val="REG-H3b"/>
        <w:rPr>
          <w:b/>
        </w:rPr>
      </w:pPr>
      <w:r w:rsidRPr="00592E14">
        <w:rPr>
          <w:b/>
        </w:rPr>
        <w:t xml:space="preserve">TARIFF OF FEES TO WHICH AN ARCHITECT </w:t>
      </w:r>
      <w:r w:rsidR="009C6634">
        <w:rPr>
          <w:b/>
        </w:rPr>
        <w:br/>
      </w:r>
      <w:r w:rsidRPr="00592E14">
        <w:rPr>
          <w:b/>
        </w:rPr>
        <w:t>IS ENTITLED FOR SERVICES RENDERED</w:t>
      </w:r>
    </w:p>
    <w:p w14:paraId="2A91232D" w14:textId="77777777" w:rsidR="00592E14" w:rsidRPr="00641F69" w:rsidRDefault="00592E14" w:rsidP="00641F69">
      <w:pPr>
        <w:pStyle w:val="REG-P0"/>
      </w:pPr>
    </w:p>
    <w:p w14:paraId="1CFF48BF" w14:textId="77777777" w:rsidR="00592E14" w:rsidRPr="00641F69" w:rsidRDefault="00206481" w:rsidP="00641F69">
      <w:pPr>
        <w:pStyle w:val="REG-P0"/>
        <w:rPr>
          <w:b/>
        </w:rPr>
      </w:pPr>
      <w:r w:rsidRPr="00641F69">
        <w:rPr>
          <w:b/>
        </w:rPr>
        <w:t>Definitions</w:t>
      </w:r>
    </w:p>
    <w:p w14:paraId="0896813C" w14:textId="77777777" w:rsidR="00592E14" w:rsidRDefault="00592E14" w:rsidP="00641F69">
      <w:pPr>
        <w:pStyle w:val="REG-P0"/>
      </w:pPr>
    </w:p>
    <w:p w14:paraId="10E896F8" w14:textId="77777777" w:rsidR="00592E14" w:rsidRDefault="00206481" w:rsidP="00641F69">
      <w:pPr>
        <w:pStyle w:val="REG-P1"/>
        <w:rPr>
          <w:rFonts w:ascii="Arial"/>
          <w:sz w:val="21"/>
        </w:rPr>
      </w:pPr>
      <w:r>
        <w:rPr>
          <w:b/>
          <w:w w:val="105"/>
        </w:rPr>
        <w:t>1.</w:t>
      </w:r>
      <w:r>
        <w:rPr>
          <w:b/>
          <w:w w:val="105"/>
        </w:rPr>
        <w:tab/>
      </w:r>
      <w:r>
        <w:rPr>
          <w:w w:val="105"/>
        </w:rPr>
        <w:t>In this Schedule, unless the context otherwise indicates, an expression or</w:t>
      </w:r>
      <w:r>
        <w:rPr>
          <w:spacing w:val="-14"/>
          <w:w w:val="105"/>
        </w:rPr>
        <w:t xml:space="preserve"> </w:t>
      </w:r>
      <w:r>
        <w:rPr>
          <w:w w:val="105"/>
        </w:rPr>
        <w:t>word</w:t>
      </w:r>
      <w:r>
        <w:rPr>
          <w:spacing w:val="-16"/>
          <w:w w:val="105"/>
        </w:rPr>
        <w:t xml:space="preserve"> </w:t>
      </w:r>
      <w:r>
        <w:rPr>
          <w:w w:val="105"/>
        </w:rPr>
        <w:t>defined</w:t>
      </w:r>
      <w:r>
        <w:rPr>
          <w:spacing w:val="-8"/>
          <w:w w:val="105"/>
        </w:rPr>
        <w:t xml:space="preserve"> </w:t>
      </w:r>
      <w:r>
        <w:rPr>
          <w:w w:val="105"/>
        </w:rPr>
        <w:t>in</w:t>
      </w:r>
      <w:r>
        <w:rPr>
          <w:spacing w:val="-12"/>
          <w:w w:val="105"/>
        </w:rPr>
        <w:t xml:space="preserve"> </w:t>
      </w:r>
      <w:r>
        <w:rPr>
          <w:w w:val="105"/>
        </w:rPr>
        <w:t>the</w:t>
      </w:r>
      <w:r>
        <w:rPr>
          <w:spacing w:val="-24"/>
          <w:w w:val="105"/>
        </w:rPr>
        <w:t xml:space="preserve"> </w:t>
      </w:r>
      <w:r>
        <w:rPr>
          <w:w w:val="105"/>
        </w:rPr>
        <w:t>Architects</w:t>
      </w:r>
      <w:r w:rsidR="009C6634">
        <w:rPr>
          <w:w w:val="105"/>
        </w:rPr>
        <w:t>’</w:t>
      </w:r>
      <w:r>
        <w:rPr>
          <w:spacing w:val="-10"/>
          <w:w w:val="105"/>
        </w:rPr>
        <w:t xml:space="preserve"> </w:t>
      </w:r>
      <w:r>
        <w:rPr>
          <w:w w:val="105"/>
        </w:rPr>
        <w:t>and</w:t>
      </w:r>
      <w:r>
        <w:rPr>
          <w:spacing w:val="-21"/>
          <w:w w:val="105"/>
        </w:rPr>
        <w:t xml:space="preserve"> </w:t>
      </w:r>
      <w:r>
        <w:rPr>
          <w:w w:val="105"/>
        </w:rPr>
        <w:t>Quantity</w:t>
      </w:r>
      <w:r>
        <w:rPr>
          <w:spacing w:val="-7"/>
          <w:w w:val="105"/>
        </w:rPr>
        <w:t xml:space="preserve"> </w:t>
      </w:r>
      <w:r>
        <w:rPr>
          <w:w w:val="105"/>
        </w:rPr>
        <w:t>Surveyors</w:t>
      </w:r>
      <w:r w:rsidR="009C6634">
        <w:rPr>
          <w:w w:val="105"/>
        </w:rPr>
        <w:t>’</w:t>
      </w:r>
      <w:r>
        <w:rPr>
          <w:spacing w:val="-20"/>
          <w:w w:val="105"/>
        </w:rPr>
        <w:t xml:space="preserve"> </w:t>
      </w:r>
      <w:r>
        <w:rPr>
          <w:w w:val="105"/>
        </w:rPr>
        <w:t>Act,</w:t>
      </w:r>
      <w:r>
        <w:rPr>
          <w:spacing w:val="-15"/>
          <w:w w:val="105"/>
        </w:rPr>
        <w:t xml:space="preserve"> </w:t>
      </w:r>
      <w:r>
        <w:rPr>
          <w:w w:val="105"/>
        </w:rPr>
        <w:t>1979</w:t>
      </w:r>
      <w:r>
        <w:rPr>
          <w:spacing w:val="-16"/>
          <w:w w:val="105"/>
        </w:rPr>
        <w:t xml:space="preserve"> </w:t>
      </w:r>
      <w:r>
        <w:rPr>
          <w:w w:val="105"/>
        </w:rPr>
        <w:t>(Act</w:t>
      </w:r>
      <w:r>
        <w:rPr>
          <w:spacing w:val="-10"/>
          <w:w w:val="105"/>
        </w:rPr>
        <w:t xml:space="preserve"> </w:t>
      </w:r>
      <w:r>
        <w:rPr>
          <w:w w:val="105"/>
        </w:rPr>
        <w:t>No.</w:t>
      </w:r>
      <w:r>
        <w:rPr>
          <w:spacing w:val="-16"/>
          <w:w w:val="105"/>
        </w:rPr>
        <w:t xml:space="preserve"> </w:t>
      </w:r>
      <w:r>
        <w:rPr>
          <w:w w:val="105"/>
        </w:rPr>
        <w:t>13</w:t>
      </w:r>
      <w:r>
        <w:rPr>
          <w:spacing w:val="-22"/>
          <w:w w:val="105"/>
        </w:rPr>
        <w:t xml:space="preserve"> </w:t>
      </w:r>
      <w:r>
        <w:rPr>
          <w:w w:val="105"/>
        </w:rPr>
        <w:t>of 1979), has that meaning, and</w:t>
      </w:r>
      <w:r>
        <w:rPr>
          <w:spacing w:val="26"/>
          <w:w w:val="105"/>
        </w:rPr>
        <w:t xml:space="preserve"> </w:t>
      </w:r>
      <w:r>
        <w:rPr>
          <w:w w:val="105"/>
        </w:rPr>
        <w:t>-</w:t>
      </w:r>
    </w:p>
    <w:p w14:paraId="45F4561A" w14:textId="77777777" w:rsidR="00592E14" w:rsidRDefault="00592E14" w:rsidP="00592E14">
      <w:pPr>
        <w:pStyle w:val="REG-P0"/>
        <w:rPr>
          <w:sz w:val="24"/>
        </w:rPr>
      </w:pPr>
    </w:p>
    <w:p w14:paraId="4997EB27" w14:textId="77777777" w:rsidR="00592E14" w:rsidRDefault="00206481" w:rsidP="00592E14">
      <w:pPr>
        <w:pStyle w:val="REG-P0"/>
      </w:pPr>
      <w:r>
        <w:rPr>
          <w:b/>
        </w:rPr>
        <w:t>“addition”</w:t>
      </w:r>
      <w:r>
        <w:t xml:space="preserve"> means the enlargement of the architectural area of an existing building by way of additional building work thereto;</w:t>
      </w:r>
    </w:p>
    <w:p w14:paraId="64250A7D" w14:textId="77777777" w:rsidR="00592E14" w:rsidRDefault="00592E14" w:rsidP="00592E14">
      <w:pPr>
        <w:pStyle w:val="REG-P0"/>
        <w:rPr>
          <w:sz w:val="24"/>
        </w:rPr>
      </w:pPr>
    </w:p>
    <w:p w14:paraId="7C1036A5" w14:textId="77777777" w:rsidR="00592E14" w:rsidRDefault="00206481" w:rsidP="00592E14">
      <w:pPr>
        <w:pStyle w:val="REG-P0"/>
      </w:pPr>
      <w:r>
        <w:rPr>
          <w:b/>
          <w:w w:val="105"/>
        </w:rPr>
        <w:t>“administer”</w:t>
      </w:r>
      <w:r>
        <w:rPr>
          <w:w w:val="105"/>
        </w:rPr>
        <w:t xml:space="preserve"> means</w:t>
      </w:r>
      <w:r>
        <w:rPr>
          <w:spacing w:val="-12"/>
          <w:w w:val="105"/>
        </w:rPr>
        <w:t xml:space="preserve"> </w:t>
      </w:r>
      <w:r>
        <w:rPr>
          <w:w w:val="105"/>
        </w:rPr>
        <w:t>the</w:t>
      </w:r>
      <w:r>
        <w:rPr>
          <w:spacing w:val="-17"/>
          <w:w w:val="105"/>
        </w:rPr>
        <w:t xml:space="preserve"> </w:t>
      </w:r>
      <w:r>
        <w:rPr>
          <w:w w:val="105"/>
        </w:rPr>
        <w:t>services</w:t>
      </w:r>
      <w:r>
        <w:rPr>
          <w:spacing w:val="-14"/>
          <w:w w:val="105"/>
        </w:rPr>
        <w:t xml:space="preserve"> </w:t>
      </w:r>
      <w:r>
        <w:rPr>
          <w:w w:val="105"/>
        </w:rPr>
        <w:t>provided</w:t>
      </w:r>
      <w:r>
        <w:rPr>
          <w:spacing w:val="-4"/>
          <w:w w:val="105"/>
        </w:rPr>
        <w:t xml:space="preserve"> </w:t>
      </w:r>
      <w:r>
        <w:rPr>
          <w:w w:val="105"/>
        </w:rPr>
        <w:t>by</w:t>
      </w:r>
      <w:r>
        <w:rPr>
          <w:spacing w:val="-9"/>
          <w:w w:val="105"/>
        </w:rPr>
        <w:t xml:space="preserve"> </w:t>
      </w:r>
      <w:r>
        <w:rPr>
          <w:w w:val="105"/>
        </w:rPr>
        <w:t>an</w:t>
      </w:r>
      <w:r>
        <w:rPr>
          <w:spacing w:val="-10"/>
          <w:w w:val="105"/>
        </w:rPr>
        <w:t xml:space="preserve"> </w:t>
      </w:r>
      <w:r>
        <w:rPr>
          <w:w w:val="105"/>
        </w:rPr>
        <w:t>architect</w:t>
      </w:r>
      <w:r>
        <w:rPr>
          <w:spacing w:val="-11"/>
          <w:w w:val="105"/>
        </w:rPr>
        <w:t xml:space="preserve"> </w:t>
      </w:r>
      <w:r>
        <w:rPr>
          <w:w w:val="105"/>
        </w:rPr>
        <w:t>in</w:t>
      </w:r>
      <w:r>
        <w:rPr>
          <w:spacing w:val="-14"/>
          <w:w w:val="105"/>
        </w:rPr>
        <w:t xml:space="preserve"> </w:t>
      </w:r>
      <w:r>
        <w:rPr>
          <w:w w:val="105"/>
        </w:rPr>
        <w:t>terms</w:t>
      </w:r>
      <w:r>
        <w:rPr>
          <w:spacing w:val="-12"/>
          <w:w w:val="105"/>
        </w:rPr>
        <w:t xml:space="preserve"> </w:t>
      </w:r>
      <w:r>
        <w:rPr>
          <w:w w:val="105"/>
        </w:rPr>
        <w:t>of</w:t>
      </w:r>
      <w:r>
        <w:rPr>
          <w:spacing w:val="-11"/>
          <w:w w:val="105"/>
        </w:rPr>
        <w:t xml:space="preserve"> </w:t>
      </w:r>
      <w:r>
        <w:rPr>
          <w:w w:val="105"/>
        </w:rPr>
        <w:t>a</w:t>
      </w:r>
      <w:r>
        <w:rPr>
          <w:spacing w:val="-21"/>
          <w:w w:val="105"/>
        </w:rPr>
        <w:t xml:space="preserve"> </w:t>
      </w:r>
      <w:r>
        <w:rPr>
          <w:w w:val="105"/>
        </w:rPr>
        <w:t>contract</w:t>
      </w:r>
      <w:r>
        <w:rPr>
          <w:spacing w:val="-13"/>
          <w:w w:val="105"/>
        </w:rPr>
        <w:t xml:space="preserve"> </w:t>
      </w:r>
      <w:r>
        <w:rPr>
          <w:w w:val="105"/>
        </w:rPr>
        <w:t>for the erection of a</w:t>
      </w:r>
      <w:r>
        <w:rPr>
          <w:spacing w:val="18"/>
          <w:w w:val="105"/>
        </w:rPr>
        <w:t xml:space="preserve"> </w:t>
      </w:r>
      <w:r>
        <w:rPr>
          <w:w w:val="105"/>
        </w:rPr>
        <w:t>building;</w:t>
      </w:r>
    </w:p>
    <w:p w14:paraId="150D64F6" w14:textId="77777777" w:rsidR="00592E14" w:rsidRDefault="00592E14" w:rsidP="00592E14">
      <w:pPr>
        <w:pStyle w:val="REG-P0"/>
        <w:rPr>
          <w:sz w:val="24"/>
        </w:rPr>
      </w:pPr>
    </w:p>
    <w:p w14:paraId="3DE6DF26" w14:textId="77777777" w:rsidR="00592E14" w:rsidRPr="004928AA" w:rsidRDefault="00206481" w:rsidP="004928AA">
      <w:pPr>
        <w:pStyle w:val="REG-P0"/>
      </w:pPr>
      <w:r w:rsidRPr="004928AA">
        <w:rPr>
          <w:b/>
        </w:rPr>
        <w:t>“alteration”</w:t>
      </w:r>
      <w:r w:rsidRPr="004928AA">
        <w:t xml:space="preserve"> means any change of an architectural, structural, mechanical or electrical nature made to an existing building and includes any portion of an existing building altered as a result of an addition to such building;</w:t>
      </w:r>
    </w:p>
    <w:p w14:paraId="5D0B8DF8" w14:textId="77777777" w:rsidR="00592E14" w:rsidRDefault="00592E14" w:rsidP="00592E14">
      <w:pPr>
        <w:pStyle w:val="REG-P0"/>
        <w:rPr>
          <w:sz w:val="24"/>
        </w:rPr>
      </w:pPr>
    </w:p>
    <w:p w14:paraId="1F5242C8" w14:textId="77777777" w:rsidR="00592E14" w:rsidRPr="004928AA" w:rsidRDefault="00206481" w:rsidP="004928AA">
      <w:pPr>
        <w:pStyle w:val="REG-P0"/>
      </w:pPr>
      <w:r w:rsidRPr="004928AA">
        <w:rPr>
          <w:b/>
        </w:rPr>
        <w:t>“architectural area”</w:t>
      </w:r>
      <w:r w:rsidRPr="004928AA">
        <w:t xml:space="preserve"> means the sum of the areas of the several floors of a building including basement, mezzanine and intermediate floored tiers and penthouses of headroom height, measured from the exterior faces of the exterior walls;</w:t>
      </w:r>
    </w:p>
    <w:p w14:paraId="31D8A469" w14:textId="77777777" w:rsidR="00592E14" w:rsidRDefault="00592E14" w:rsidP="00592E14">
      <w:pPr>
        <w:pStyle w:val="REG-P0"/>
        <w:rPr>
          <w:sz w:val="23"/>
        </w:rPr>
      </w:pPr>
    </w:p>
    <w:p w14:paraId="5F281AFF" w14:textId="77777777" w:rsidR="00592E14" w:rsidRDefault="00206481" w:rsidP="00592E14">
      <w:pPr>
        <w:pStyle w:val="REG-P0"/>
      </w:pPr>
      <w:r>
        <w:rPr>
          <w:b/>
          <w:w w:val="105"/>
        </w:rPr>
        <w:t>“as built drawings”</w:t>
      </w:r>
      <w:r>
        <w:rPr>
          <w:w w:val="105"/>
        </w:rPr>
        <w:t xml:space="preserve"> means the working drawings, amended as necessary on completion of the project, which show the works as actually built;</w:t>
      </w:r>
    </w:p>
    <w:p w14:paraId="20A09416" w14:textId="77777777" w:rsidR="00592E14" w:rsidRDefault="00592E14" w:rsidP="00592E14">
      <w:pPr>
        <w:pStyle w:val="REG-P0"/>
        <w:rPr>
          <w:sz w:val="23"/>
        </w:rPr>
      </w:pPr>
    </w:p>
    <w:p w14:paraId="4B5DD59A" w14:textId="77777777" w:rsidR="00592E14" w:rsidRDefault="00206481" w:rsidP="00592E14">
      <w:pPr>
        <w:pStyle w:val="REG-P0"/>
      </w:pPr>
      <w:r>
        <w:rPr>
          <w:b/>
          <w:w w:val="105"/>
        </w:rPr>
        <w:t>“building</w:t>
      </w:r>
      <w:r>
        <w:rPr>
          <w:b/>
          <w:spacing w:val="-11"/>
          <w:w w:val="105"/>
        </w:rPr>
        <w:t xml:space="preserve"> </w:t>
      </w:r>
      <w:r>
        <w:rPr>
          <w:b/>
          <w:w w:val="105"/>
        </w:rPr>
        <w:t>scheme”</w:t>
      </w:r>
      <w:r>
        <w:rPr>
          <w:w w:val="105"/>
        </w:rPr>
        <w:t xml:space="preserve"> means</w:t>
      </w:r>
      <w:r>
        <w:rPr>
          <w:spacing w:val="-9"/>
          <w:w w:val="105"/>
        </w:rPr>
        <w:t xml:space="preserve"> </w:t>
      </w:r>
      <w:r>
        <w:rPr>
          <w:w w:val="105"/>
        </w:rPr>
        <w:t>a</w:t>
      </w:r>
      <w:r>
        <w:rPr>
          <w:spacing w:val="-15"/>
          <w:w w:val="105"/>
        </w:rPr>
        <w:t xml:space="preserve"> </w:t>
      </w:r>
      <w:r>
        <w:rPr>
          <w:w w:val="105"/>
        </w:rPr>
        <w:t>design</w:t>
      </w:r>
      <w:r>
        <w:rPr>
          <w:spacing w:val="-8"/>
          <w:w w:val="105"/>
        </w:rPr>
        <w:t xml:space="preserve"> </w:t>
      </w:r>
      <w:r>
        <w:rPr>
          <w:w w:val="105"/>
        </w:rPr>
        <w:t>proposal</w:t>
      </w:r>
      <w:r>
        <w:rPr>
          <w:spacing w:val="-9"/>
          <w:w w:val="105"/>
        </w:rPr>
        <w:t xml:space="preserve"> </w:t>
      </w:r>
      <w:r>
        <w:rPr>
          <w:w w:val="105"/>
        </w:rPr>
        <w:t>for</w:t>
      </w:r>
      <w:r>
        <w:rPr>
          <w:spacing w:val="-11"/>
          <w:w w:val="105"/>
        </w:rPr>
        <w:t xml:space="preserve"> </w:t>
      </w:r>
      <w:r>
        <w:rPr>
          <w:w w:val="105"/>
        </w:rPr>
        <w:t>the</w:t>
      </w:r>
      <w:r>
        <w:rPr>
          <w:spacing w:val="-17"/>
          <w:w w:val="105"/>
        </w:rPr>
        <w:t xml:space="preserve"> </w:t>
      </w:r>
      <w:r>
        <w:rPr>
          <w:w w:val="105"/>
        </w:rPr>
        <w:t>erection</w:t>
      </w:r>
      <w:r>
        <w:rPr>
          <w:spacing w:val="-6"/>
          <w:w w:val="105"/>
        </w:rPr>
        <w:t xml:space="preserve"> </w:t>
      </w:r>
      <w:r>
        <w:rPr>
          <w:w w:val="105"/>
        </w:rPr>
        <w:t>of</w:t>
      </w:r>
      <w:r>
        <w:rPr>
          <w:spacing w:val="-4"/>
          <w:w w:val="105"/>
        </w:rPr>
        <w:t xml:space="preserve"> </w:t>
      </w:r>
      <w:r>
        <w:rPr>
          <w:w w:val="105"/>
        </w:rPr>
        <w:t>a</w:t>
      </w:r>
      <w:r>
        <w:rPr>
          <w:spacing w:val="-13"/>
          <w:w w:val="105"/>
        </w:rPr>
        <w:t xml:space="preserve"> </w:t>
      </w:r>
      <w:r>
        <w:rPr>
          <w:w w:val="105"/>
        </w:rPr>
        <w:t>building</w:t>
      </w:r>
      <w:r>
        <w:rPr>
          <w:spacing w:val="-4"/>
          <w:w w:val="105"/>
        </w:rPr>
        <w:t xml:space="preserve"> </w:t>
      </w:r>
      <w:r>
        <w:rPr>
          <w:w w:val="105"/>
        </w:rPr>
        <w:t>or</w:t>
      </w:r>
      <w:r>
        <w:rPr>
          <w:spacing w:val="-12"/>
          <w:w w:val="105"/>
        </w:rPr>
        <w:t xml:space="preserve"> </w:t>
      </w:r>
      <w:r>
        <w:rPr>
          <w:w w:val="105"/>
        </w:rPr>
        <w:t>group of</w:t>
      </w:r>
      <w:r>
        <w:rPr>
          <w:spacing w:val="-1"/>
          <w:w w:val="105"/>
        </w:rPr>
        <w:t xml:space="preserve"> </w:t>
      </w:r>
      <w:r>
        <w:rPr>
          <w:w w:val="105"/>
        </w:rPr>
        <w:t>buildings,</w:t>
      </w:r>
      <w:r>
        <w:rPr>
          <w:spacing w:val="-1"/>
          <w:w w:val="105"/>
        </w:rPr>
        <w:t xml:space="preserve"> </w:t>
      </w:r>
      <w:r>
        <w:rPr>
          <w:w w:val="105"/>
        </w:rPr>
        <w:t>including</w:t>
      </w:r>
      <w:r>
        <w:rPr>
          <w:spacing w:val="-1"/>
          <w:w w:val="105"/>
        </w:rPr>
        <w:t xml:space="preserve"> </w:t>
      </w:r>
      <w:r>
        <w:rPr>
          <w:w w:val="105"/>
        </w:rPr>
        <w:t>all</w:t>
      </w:r>
      <w:r>
        <w:rPr>
          <w:spacing w:val="-10"/>
          <w:w w:val="105"/>
        </w:rPr>
        <w:t xml:space="preserve"> </w:t>
      </w:r>
      <w:r>
        <w:rPr>
          <w:w w:val="105"/>
        </w:rPr>
        <w:t>ancillary</w:t>
      </w:r>
      <w:r>
        <w:rPr>
          <w:spacing w:val="6"/>
          <w:w w:val="105"/>
        </w:rPr>
        <w:t xml:space="preserve"> </w:t>
      </w:r>
      <w:r>
        <w:rPr>
          <w:w w:val="105"/>
        </w:rPr>
        <w:t>services,</w:t>
      </w:r>
      <w:r>
        <w:rPr>
          <w:spacing w:val="-11"/>
          <w:w w:val="105"/>
        </w:rPr>
        <w:t xml:space="preserve"> </w:t>
      </w:r>
      <w:r>
        <w:rPr>
          <w:w w:val="105"/>
        </w:rPr>
        <w:t>site</w:t>
      </w:r>
      <w:r>
        <w:rPr>
          <w:spacing w:val="-13"/>
          <w:w w:val="105"/>
        </w:rPr>
        <w:t xml:space="preserve"> </w:t>
      </w:r>
      <w:r>
        <w:rPr>
          <w:w w:val="105"/>
        </w:rPr>
        <w:t>works</w:t>
      </w:r>
      <w:r>
        <w:rPr>
          <w:spacing w:val="-8"/>
          <w:w w:val="105"/>
        </w:rPr>
        <w:t xml:space="preserve"> </w:t>
      </w:r>
      <w:r>
        <w:rPr>
          <w:w w:val="105"/>
        </w:rPr>
        <w:t>and</w:t>
      </w:r>
      <w:r>
        <w:rPr>
          <w:spacing w:val="-10"/>
          <w:w w:val="105"/>
        </w:rPr>
        <w:t xml:space="preserve"> </w:t>
      </w:r>
      <w:r>
        <w:rPr>
          <w:w w:val="105"/>
        </w:rPr>
        <w:t>other</w:t>
      </w:r>
      <w:r>
        <w:rPr>
          <w:spacing w:val="-10"/>
          <w:w w:val="105"/>
        </w:rPr>
        <w:t xml:space="preserve"> </w:t>
      </w:r>
      <w:r>
        <w:rPr>
          <w:w w:val="105"/>
        </w:rPr>
        <w:t>appurtenances;</w:t>
      </w:r>
    </w:p>
    <w:p w14:paraId="69D844F7" w14:textId="77777777" w:rsidR="00592E14" w:rsidRDefault="00592E14" w:rsidP="00592E14">
      <w:pPr>
        <w:pStyle w:val="REG-P0"/>
        <w:rPr>
          <w:sz w:val="24"/>
        </w:rPr>
      </w:pPr>
    </w:p>
    <w:p w14:paraId="28DAB7A3" w14:textId="77777777" w:rsidR="00592E14" w:rsidRDefault="00206481" w:rsidP="00592E14">
      <w:pPr>
        <w:pStyle w:val="REG-P0"/>
      </w:pPr>
      <w:r>
        <w:rPr>
          <w:b/>
        </w:rPr>
        <w:t>“client”</w:t>
      </w:r>
      <w:r>
        <w:t xml:space="preserve"> means any person, body corporate, institution or organisation or any public utility, corporation or public utility company established by or under a special Act of Parliament, or any state, regional or similar authority engaging an architect to perform any of the services referred to in this Schedule;</w:t>
      </w:r>
    </w:p>
    <w:p w14:paraId="69C39E03" w14:textId="77777777" w:rsidR="00592E14" w:rsidRDefault="00592E14" w:rsidP="00592E14">
      <w:pPr>
        <w:pStyle w:val="REG-P0"/>
        <w:rPr>
          <w:sz w:val="23"/>
        </w:rPr>
      </w:pPr>
    </w:p>
    <w:p w14:paraId="1091C2F7" w14:textId="77777777" w:rsidR="00592E14" w:rsidRDefault="00206481" w:rsidP="00592E14">
      <w:pPr>
        <w:pStyle w:val="REG-P0"/>
      </w:pPr>
      <w:r>
        <w:rPr>
          <w:b/>
        </w:rPr>
        <w:t>“consultant”</w:t>
      </w:r>
      <w:r w:rsidRPr="00641F69">
        <w:t xml:space="preserve"> </w:t>
      </w:r>
      <w:r>
        <w:t xml:space="preserve">means any person engaged by agreement between the client and the architect to provide specialised advice on any aspect of a project and includes </w:t>
      </w:r>
      <w:r>
        <w:rPr>
          <w:i/>
        </w:rPr>
        <w:t xml:space="preserve">inter alia </w:t>
      </w:r>
      <w:r>
        <w:t>a registered quantity surveyor, a professional engineer, a registered town and regional planner or a landscape architect;</w:t>
      </w:r>
    </w:p>
    <w:p w14:paraId="42F14A75" w14:textId="77777777" w:rsidR="00592E14" w:rsidRDefault="00592E14" w:rsidP="00592E14">
      <w:pPr>
        <w:pStyle w:val="REG-P0"/>
        <w:rPr>
          <w:sz w:val="23"/>
        </w:rPr>
      </w:pPr>
    </w:p>
    <w:p w14:paraId="3DC24458" w14:textId="77777777" w:rsidR="00592E14" w:rsidRDefault="00206481" w:rsidP="00592E14">
      <w:pPr>
        <w:pStyle w:val="REG-P0"/>
      </w:pPr>
      <w:r>
        <w:rPr>
          <w:b/>
        </w:rPr>
        <w:t>“cost of the works”</w:t>
      </w:r>
      <w:r>
        <w:t xml:space="preserve"> means the final cost of all the work executed, including the cost of electrical, mechanical and other specialist services and site works forming an integral part of the project and in respect of which the architect renders co-ordinating services contemplated in paragraph 2(2) and shall include -</w:t>
      </w:r>
    </w:p>
    <w:p w14:paraId="60C4B5A4" w14:textId="77777777" w:rsidR="00592E14" w:rsidRDefault="00592E14" w:rsidP="00592E14">
      <w:pPr>
        <w:pStyle w:val="REG-P0"/>
        <w:rPr>
          <w:sz w:val="23"/>
        </w:rPr>
      </w:pPr>
    </w:p>
    <w:p w14:paraId="75792DF7" w14:textId="77777777" w:rsidR="00592E14" w:rsidRPr="00E43277" w:rsidRDefault="00206481" w:rsidP="00E43277">
      <w:pPr>
        <w:pStyle w:val="REG-Pa"/>
        <w:ind w:left="567"/>
      </w:pPr>
      <w:r w:rsidRPr="00E43277">
        <w:t>(a)</w:t>
      </w:r>
      <w:r w:rsidRPr="00E43277">
        <w:tab/>
        <w:t>the actual or estimated cost of any materials, labour or carriage donated or supplied at reduced cost including General Sales Tax;</w:t>
      </w:r>
    </w:p>
    <w:p w14:paraId="44E55152" w14:textId="77777777" w:rsidR="00592E14" w:rsidRPr="00E43277" w:rsidRDefault="00592E14" w:rsidP="00E43277">
      <w:pPr>
        <w:pStyle w:val="REG-Pa"/>
        <w:ind w:left="567"/>
      </w:pPr>
    </w:p>
    <w:p w14:paraId="2C6D828B" w14:textId="77777777" w:rsidR="00592E14" w:rsidRPr="00E43277" w:rsidRDefault="00206481" w:rsidP="00E43277">
      <w:pPr>
        <w:pStyle w:val="REG-Pa"/>
        <w:ind w:left="567"/>
      </w:pPr>
      <w:r w:rsidRPr="00E43277">
        <w:t>(b)</w:t>
      </w:r>
      <w:r w:rsidRPr="00E43277">
        <w:tab/>
        <w:t>the actual or estimated cost of any work excluded from the contract and in respect of which the architect has rendered services contemplated in paragraph</w:t>
      </w:r>
    </w:p>
    <w:p w14:paraId="0035DA7A" w14:textId="77777777" w:rsidR="00592E14" w:rsidRPr="00E43277" w:rsidRDefault="00592E14" w:rsidP="00E43277">
      <w:pPr>
        <w:pStyle w:val="REG-Pa"/>
        <w:ind w:left="567"/>
      </w:pPr>
    </w:p>
    <w:p w14:paraId="2D0B34D7" w14:textId="77777777" w:rsidR="00592E14" w:rsidRPr="00E43277" w:rsidRDefault="00206481" w:rsidP="00E43277">
      <w:pPr>
        <w:pStyle w:val="REG-Pa"/>
        <w:ind w:left="567"/>
      </w:pPr>
      <w:r w:rsidRPr="00E43277">
        <w:t>(c)</w:t>
      </w:r>
      <w:r w:rsidRPr="00E43277">
        <w:tab/>
        <w:t>any penalties which may have been deducted in terms of a building contract from the payments to the contractor;</w:t>
      </w:r>
    </w:p>
    <w:p w14:paraId="21F6F0A1" w14:textId="77777777" w:rsidR="00592E14" w:rsidRDefault="00592E14" w:rsidP="00592E14">
      <w:pPr>
        <w:pStyle w:val="REG-P0"/>
        <w:rPr>
          <w:sz w:val="24"/>
        </w:rPr>
      </w:pPr>
    </w:p>
    <w:p w14:paraId="197A0E28" w14:textId="77777777" w:rsidR="00592E14" w:rsidRDefault="00206481" w:rsidP="00E43277">
      <w:pPr>
        <w:pStyle w:val="REG-P0"/>
      </w:pPr>
      <w:r>
        <w:rPr>
          <w:w w:val="105"/>
        </w:rPr>
        <w:t>but excluding</w:t>
      </w:r>
    </w:p>
    <w:p w14:paraId="7A7DDAD0" w14:textId="77777777" w:rsidR="00592E14" w:rsidRDefault="00592E14" w:rsidP="00592E14">
      <w:pPr>
        <w:pStyle w:val="REG-P0"/>
        <w:rPr>
          <w:sz w:val="26"/>
        </w:rPr>
      </w:pPr>
    </w:p>
    <w:p w14:paraId="494045F0" w14:textId="77777777" w:rsidR="00592E14" w:rsidRDefault="00206481" w:rsidP="00E43277">
      <w:pPr>
        <w:pStyle w:val="REG-Pa"/>
      </w:pPr>
      <w:r>
        <w:t>(i)</w:t>
      </w:r>
      <w:r>
        <w:tab/>
        <w:t>the fees and disbursements of the architect, quantity surveyor, engineer or other</w:t>
      </w:r>
      <w:r>
        <w:rPr>
          <w:spacing w:val="6"/>
        </w:rPr>
        <w:t xml:space="preserve"> </w:t>
      </w:r>
      <w:r>
        <w:t>consultants;</w:t>
      </w:r>
    </w:p>
    <w:p w14:paraId="41C7E313" w14:textId="77777777" w:rsidR="00592E14" w:rsidRDefault="00592E14" w:rsidP="00E43277">
      <w:pPr>
        <w:pStyle w:val="REG-Pa"/>
        <w:rPr>
          <w:sz w:val="23"/>
        </w:rPr>
      </w:pPr>
    </w:p>
    <w:p w14:paraId="2C5F3668" w14:textId="77777777" w:rsidR="00592E14" w:rsidRDefault="00206481" w:rsidP="00E43277">
      <w:pPr>
        <w:pStyle w:val="REG-Pa"/>
      </w:pPr>
      <w:r>
        <w:t>(ii)</w:t>
      </w:r>
      <w:r>
        <w:tab/>
        <w:t>the remuneration of the site staff of the client except where the client is the builder;</w:t>
      </w:r>
      <w:r>
        <w:rPr>
          <w:spacing w:val="23"/>
        </w:rPr>
        <w:t xml:space="preserve"> </w:t>
      </w:r>
      <w:r>
        <w:t>and</w:t>
      </w:r>
    </w:p>
    <w:p w14:paraId="5BB6F9D6" w14:textId="77777777" w:rsidR="00592E14" w:rsidRDefault="00592E14" w:rsidP="00E43277">
      <w:pPr>
        <w:pStyle w:val="REG-Pa"/>
        <w:rPr>
          <w:sz w:val="24"/>
        </w:rPr>
      </w:pPr>
    </w:p>
    <w:p w14:paraId="159B8094" w14:textId="77777777" w:rsidR="00592E14" w:rsidRDefault="00206481" w:rsidP="00E43277">
      <w:pPr>
        <w:pStyle w:val="REG-Pa"/>
      </w:pPr>
      <w:r>
        <w:t>(iii)</w:t>
      </w:r>
      <w:r>
        <w:tab/>
        <w:t>General Sales Tax on subparagraph (i) and</w:t>
      </w:r>
      <w:r>
        <w:rPr>
          <w:spacing w:val="17"/>
        </w:rPr>
        <w:t xml:space="preserve"> </w:t>
      </w:r>
      <w:r>
        <w:t>(ii);</w:t>
      </w:r>
    </w:p>
    <w:p w14:paraId="09A06E95" w14:textId="77777777" w:rsidR="00592E14" w:rsidRDefault="00592E14" w:rsidP="00592E14">
      <w:pPr>
        <w:pStyle w:val="REG-P0"/>
        <w:rPr>
          <w:sz w:val="18"/>
        </w:rPr>
      </w:pPr>
    </w:p>
    <w:p w14:paraId="6ABF022C" w14:textId="77777777" w:rsidR="00592E14" w:rsidRDefault="00206481" w:rsidP="00592E14">
      <w:pPr>
        <w:pStyle w:val="REG-P0"/>
      </w:pPr>
      <w:r>
        <w:rPr>
          <w:b/>
        </w:rPr>
        <w:t>“inspection”</w:t>
      </w:r>
      <w:r>
        <w:t xml:space="preserve"> means such periodic visits to or in connection with the works by the architect as are necessary to determine that the work is proceeding generally in</w:t>
      </w:r>
      <w:r w:rsidR="004B27A8">
        <w:t xml:space="preserve"> </w:t>
      </w:r>
      <w:r>
        <w:t>accordance</w:t>
      </w:r>
      <w:r>
        <w:rPr>
          <w:spacing w:val="3"/>
        </w:rPr>
        <w:t xml:space="preserve"> </w:t>
      </w:r>
      <w:r>
        <w:t>with</w:t>
      </w:r>
      <w:r>
        <w:rPr>
          <w:spacing w:val="-4"/>
        </w:rPr>
        <w:t xml:space="preserve"> </w:t>
      </w:r>
      <w:r>
        <w:t>the</w:t>
      </w:r>
      <w:r>
        <w:rPr>
          <w:spacing w:val="-15"/>
        </w:rPr>
        <w:t xml:space="preserve"> </w:t>
      </w:r>
      <w:r>
        <w:t>requirements</w:t>
      </w:r>
      <w:r>
        <w:rPr>
          <w:spacing w:val="-2"/>
        </w:rPr>
        <w:t xml:space="preserve"> </w:t>
      </w:r>
      <w:r>
        <w:t>of</w:t>
      </w:r>
      <w:r>
        <w:rPr>
          <w:spacing w:val="-3"/>
        </w:rPr>
        <w:t xml:space="preserve"> </w:t>
      </w:r>
      <w:r>
        <w:t>the</w:t>
      </w:r>
      <w:r>
        <w:rPr>
          <w:spacing w:val="-18"/>
        </w:rPr>
        <w:t xml:space="preserve"> </w:t>
      </w:r>
      <w:r>
        <w:t>contract</w:t>
      </w:r>
      <w:r>
        <w:rPr>
          <w:spacing w:val="2"/>
        </w:rPr>
        <w:t xml:space="preserve"> </w:t>
      </w:r>
      <w:r>
        <w:t>between the</w:t>
      </w:r>
      <w:r>
        <w:rPr>
          <w:spacing w:val="-17"/>
        </w:rPr>
        <w:t xml:space="preserve"> </w:t>
      </w:r>
      <w:r>
        <w:t>client</w:t>
      </w:r>
      <w:r>
        <w:rPr>
          <w:spacing w:val="-11"/>
        </w:rPr>
        <w:t xml:space="preserve"> </w:t>
      </w:r>
      <w:r>
        <w:t>and</w:t>
      </w:r>
      <w:r>
        <w:rPr>
          <w:spacing w:val="-9"/>
        </w:rPr>
        <w:t xml:space="preserve"> </w:t>
      </w:r>
      <w:r>
        <w:t>the</w:t>
      </w:r>
      <w:r>
        <w:rPr>
          <w:spacing w:val="-21"/>
        </w:rPr>
        <w:t xml:space="preserve"> </w:t>
      </w:r>
      <w:r>
        <w:t>contractor,</w:t>
      </w:r>
      <w:r w:rsidR="00641F69">
        <w:t xml:space="preserve"> </w:t>
      </w:r>
      <w:r>
        <w:rPr>
          <w:w w:val="105"/>
        </w:rPr>
        <w:t>to</w:t>
      </w:r>
      <w:r>
        <w:rPr>
          <w:spacing w:val="-28"/>
          <w:w w:val="105"/>
        </w:rPr>
        <w:t xml:space="preserve"> </w:t>
      </w:r>
      <w:r>
        <w:rPr>
          <w:w w:val="105"/>
        </w:rPr>
        <w:t>provide</w:t>
      </w:r>
      <w:r>
        <w:rPr>
          <w:spacing w:val="-21"/>
          <w:w w:val="105"/>
        </w:rPr>
        <w:t xml:space="preserve"> </w:t>
      </w:r>
      <w:r>
        <w:rPr>
          <w:w w:val="105"/>
        </w:rPr>
        <w:t>on-site</w:t>
      </w:r>
      <w:r>
        <w:rPr>
          <w:spacing w:val="-23"/>
          <w:w w:val="105"/>
        </w:rPr>
        <w:t xml:space="preserve"> </w:t>
      </w:r>
      <w:r>
        <w:rPr>
          <w:w w:val="105"/>
        </w:rPr>
        <w:t>clarification</w:t>
      </w:r>
      <w:r>
        <w:rPr>
          <w:spacing w:val="-17"/>
          <w:w w:val="105"/>
        </w:rPr>
        <w:t xml:space="preserve"> </w:t>
      </w:r>
      <w:r>
        <w:rPr>
          <w:w w:val="105"/>
        </w:rPr>
        <w:t>and</w:t>
      </w:r>
      <w:r>
        <w:rPr>
          <w:spacing w:val="-27"/>
          <w:w w:val="105"/>
        </w:rPr>
        <w:t xml:space="preserve"> </w:t>
      </w:r>
      <w:r>
        <w:rPr>
          <w:w w:val="105"/>
        </w:rPr>
        <w:t>further</w:t>
      </w:r>
      <w:r>
        <w:rPr>
          <w:spacing w:val="-25"/>
          <w:w w:val="105"/>
        </w:rPr>
        <w:t xml:space="preserve"> </w:t>
      </w:r>
      <w:r>
        <w:rPr>
          <w:w w:val="105"/>
        </w:rPr>
        <w:t>information</w:t>
      </w:r>
      <w:r>
        <w:rPr>
          <w:spacing w:val="-10"/>
          <w:w w:val="105"/>
        </w:rPr>
        <w:t xml:space="preserve"> </w:t>
      </w:r>
      <w:r>
        <w:rPr>
          <w:w w:val="105"/>
        </w:rPr>
        <w:t>as</w:t>
      </w:r>
      <w:r>
        <w:rPr>
          <w:spacing w:val="-23"/>
          <w:w w:val="105"/>
        </w:rPr>
        <w:t xml:space="preserve"> </w:t>
      </w:r>
      <w:r>
        <w:rPr>
          <w:w w:val="105"/>
        </w:rPr>
        <w:t>may</w:t>
      </w:r>
      <w:r>
        <w:rPr>
          <w:spacing w:val="-16"/>
          <w:w w:val="105"/>
        </w:rPr>
        <w:t xml:space="preserve"> </w:t>
      </w:r>
      <w:r>
        <w:rPr>
          <w:w w:val="105"/>
        </w:rPr>
        <w:t>be</w:t>
      </w:r>
      <w:r>
        <w:rPr>
          <w:spacing w:val="-29"/>
          <w:w w:val="105"/>
        </w:rPr>
        <w:t xml:space="preserve"> </w:t>
      </w:r>
      <w:r>
        <w:rPr>
          <w:w w:val="105"/>
        </w:rPr>
        <w:t>required</w:t>
      </w:r>
      <w:r>
        <w:rPr>
          <w:spacing w:val="-18"/>
          <w:w w:val="105"/>
        </w:rPr>
        <w:t xml:space="preserve"> </w:t>
      </w:r>
      <w:r>
        <w:rPr>
          <w:w w:val="105"/>
        </w:rPr>
        <w:t>during</w:t>
      </w:r>
      <w:r>
        <w:rPr>
          <w:spacing w:val="-19"/>
          <w:w w:val="105"/>
        </w:rPr>
        <w:t xml:space="preserve"> </w:t>
      </w:r>
      <w:r>
        <w:rPr>
          <w:w w:val="105"/>
        </w:rPr>
        <w:t>the progress</w:t>
      </w:r>
      <w:r>
        <w:rPr>
          <w:spacing w:val="-17"/>
          <w:w w:val="105"/>
        </w:rPr>
        <w:t xml:space="preserve"> </w:t>
      </w:r>
      <w:r>
        <w:rPr>
          <w:w w:val="105"/>
        </w:rPr>
        <w:t>of</w:t>
      </w:r>
      <w:r>
        <w:rPr>
          <w:spacing w:val="-15"/>
          <w:w w:val="105"/>
        </w:rPr>
        <w:t xml:space="preserve"> </w:t>
      </w:r>
      <w:r>
        <w:rPr>
          <w:w w:val="105"/>
        </w:rPr>
        <w:t>the</w:t>
      </w:r>
      <w:r>
        <w:rPr>
          <w:spacing w:val="-20"/>
          <w:w w:val="105"/>
        </w:rPr>
        <w:t xml:space="preserve"> </w:t>
      </w:r>
      <w:r>
        <w:rPr>
          <w:w w:val="105"/>
        </w:rPr>
        <w:t>work,</w:t>
      </w:r>
      <w:r>
        <w:rPr>
          <w:spacing w:val="-19"/>
          <w:w w:val="105"/>
        </w:rPr>
        <w:t xml:space="preserve"> </w:t>
      </w:r>
      <w:r>
        <w:rPr>
          <w:w w:val="105"/>
        </w:rPr>
        <w:t>and</w:t>
      </w:r>
      <w:r>
        <w:rPr>
          <w:spacing w:val="-18"/>
          <w:w w:val="105"/>
        </w:rPr>
        <w:t xml:space="preserve"> </w:t>
      </w:r>
      <w:r>
        <w:rPr>
          <w:w w:val="105"/>
        </w:rPr>
        <w:t>includes</w:t>
      </w:r>
      <w:r>
        <w:rPr>
          <w:spacing w:val="-15"/>
          <w:w w:val="105"/>
        </w:rPr>
        <w:t xml:space="preserve"> </w:t>
      </w:r>
      <w:r>
        <w:rPr>
          <w:w w:val="105"/>
        </w:rPr>
        <w:t>such</w:t>
      </w:r>
      <w:r>
        <w:rPr>
          <w:spacing w:val="-17"/>
          <w:w w:val="105"/>
        </w:rPr>
        <w:t xml:space="preserve"> </w:t>
      </w:r>
      <w:r>
        <w:rPr>
          <w:w w:val="105"/>
        </w:rPr>
        <w:t>periodic</w:t>
      </w:r>
      <w:r>
        <w:rPr>
          <w:spacing w:val="-12"/>
          <w:w w:val="105"/>
        </w:rPr>
        <w:t xml:space="preserve"> </w:t>
      </w:r>
      <w:r>
        <w:rPr>
          <w:w w:val="105"/>
        </w:rPr>
        <w:t>visits</w:t>
      </w:r>
      <w:r>
        <w:rPr>
          <w:spacing w:val="-17"/>
          <w:w w:val="105"/>
        </w:rPr>
        <w:t xml:space="preserve"> </w:t>
      </w:r>
      <w:r>
        <w:rPr>
          <w:w w:val="105"/>
        </w:rPr>
        <w:t>by</w:t>
      </w:r>
      <w:r>
        <w:rPr>
          <w:spacing w:val="-12"/>
          <w:w w:val="105"/>
        </w:rPr>
        <w:t xml:space="preserve"> </w:t>
      </w:r>
      <w:r>
        <w:rPr>
          <w:w w:val="105"/>
        </w:rPr>
        <w:t>the</w:t>
      </w:r>
      <w:r>
        <w:rPr>
          <w:spacing w:val="-24"/>
          <w:w w:val="105"/>
        </w:rPr>
        <w:t xml:space="preserve"> </w:t>
      </w:r>
      <w:r>
        <w:rPr>
          <w:w w:val="105"/>
        </w:rPr>
        <w:t>architect</w:t>
      </w:r>
      <w:r>
        <w:rPr>
          <w:spacing w:val="-13"/>
          <w:w w:val="105"/>
        </w:rPr>
        <w:t xml:space="preserve"> </w:t>
      </w:r>
      <w:r>
        <w:rPr>
          <w:w w:val="105"/>
        </w:rPr>
        <w:t>together</w:t>
      </w:r>
      <w:r>
        <w:rPr>
          <w:spacing w:val="-13"/>
          <w:w w:val="105"/>
        </w:rPr>
        <w:t xml:space="preserve"> </w:t>
      </w:r>
      <w:r>
        <w:rPr>
          <w:w w:val="105"/>
        </w:rPr>
        <w:t>with any consultants, aimed at inspecting samples of materials and workmanship and scrutinising the contractors</w:t>
      </w:r>
      <w:r w:rsidR="004B27A8">
        <w:rPr>
          <w:w w:val="105"/>
        </w:rPr>
        <w:t>’ and any subcontractors’</w:t>
      </w:r>
      <w:r>
        <w:rPr>
          <w:w w:val="105"/>
        </w:rPr>
        <w:t xml:space="preserve"> shop drawings for conformity with the documentation prepared by the architect and</w:t>
      </w:r>
      <w:r>
        <w:rPr>
          <w:spacing w:val="32"/>
          <w:w w:val="105"/>
        </w:rPr>
        <w:t xml:space="preserve"> </w:t>
      </w:r>
      <w:r>
        <w:rPr>
          <w:w w:val="105"/>
        </w:rPr>
        <w:t>consultants;</w:t>
      </w:r>
    </w:p>
    <w:p w14:paraId="3CC34D18" w14:textId="77777777" w:rsidR="00592E14" w:rsidRDefault="00592E14" w:rsidP="00592E14">
      <w:pPr>
        <w:pStyle w:val="REG-P0"/>
      </w:pPr>
    </w:p>
    <w:p w14:paraId="2B7155E8" w14:textId="77777777" w:rsidR="00592E14" w:rsidRDefault="00206481" w:rsidP="00592E14">
      <w:pPr>
        <w:pStyle w:val="REG-P0"/>
      </w:pPr>
      <w:r>
        <w:rPr>
          <w:b/>
          <w:w w:val="105"/>
        </w:rPr>
        <w:t>“private practice”</w:t>
      </w:r>
      <w:r>
        <w:rPr>
          <w:w w:val="105"/>
        </w:rPr>
        <w:t xml:space="preserve"> means the practice of a person who performs the work of a registered architect for a fee other than a salary and for that purpose holds out as a registered</w:t>
      </w:r>
      <w:r>
        <w:rPr>
          <w:spacing w:val="-7"/>
          <w:w w:val="105"/>
        </w:rPr>
        <w:t xml:space="preserve"> </w:t>
      </w:r>
      <w:r>
        <w:rPr>
          <w:w w:val="105"/>
        </w:rPr>
        <w:t>architect</w:t>
      </w:r>
      <w:r>
        <w:rPr>
          <w:spacing w:val="-10"/>
          <w:w w:val="105"/>
        </w:rPr>
        <w:t xml:space="preserve"> </w:t>
      </w:r>
      <w:r>
        <w:rPr>
          <w:w w:val="105"/>
        </w:rPr>
        <w:t>and</w:t>
      </w:r>
      <w:r>
        <w:rPr>
          <w:spacing w:val="-18"/>
          <w:w w:val="105"/>
        </w:rPr>
        <w:t xml:space="preserve"> </w:t>
      </w:r>
      <w:r>
        <w:rPr>
          <w:w w:val="105"/>
        </w:rPr>
        <w:t>places</w:t>
      </w:r>
      <w:r>
        <w:rPr>
          <w:spacing w:val="-16"/>
          <w:w w:val="105"/>
        </w:rPr>
        <w:t xml:space="preserve"> </w:t>
      </w:r>
      <w:r>
        <w:rPr>
          <w:w w:val="105"/>
        </w:rPr>
        <w:t>the</w:t>
      </w:r>
      <w:r>
        <w:rPr>
          <w:spacing w:val="-24"/>
          <w:w w:val="105"/>
        </w:rPr>
        <w:t xml:space="preserve"> </w:t>
      </w:r>
      <w:r>
        <w:rPr>
          <w:w w:val="105"/>
        </w:rPr>
        <w:t>services</w:t>
      </w:r>
      <w:r>
        <w:rPr>
          <w:spacing w:val="-14"/>
          <w:w w:val="105"/>
        </w:rPr>
        <w:t xml:space="preserve"> </w:t>
      </w:r>
      <w:r>
        <w:rPr>
          <w:w w:val="105"/>
        </w:rPr>
        <w:t>rendered</w:t>
      </w:r>
      <w:r>
        <w:rPr>
          <w:spacing w:val="-8"/>
          <w:w w:val="105"/>
        </w:rPr>
        <w:t xml:space="preserve"> </w:t>
      </w:r>
      <w:r>
        <w:rPr>
          <w:w w:val="105"/>
        </w:rPr>
        <w:t>at</w:t>
      </w:r>
      <w:r>
        <w:rPr>
          <w:spacing w:val="-22"/>
          <w:w w:val="105"/>
        </w:rPr>
        <w:t xml:space="preserve"> </w:t>
      </w:r>
      <w:r>
        <w:rPr>
          <w:w w:val="105"/>
        </w:rPr>
        <w:t>the</w:t>
      </w:r>
      <w:r>
        <w:rPr>
          <w:spacing w:val="-22"/>
          <w:w w:val="105"/>
        </w:rPr>
        <w:t xml:space="preserve"> </w:t>
      </w:r>
      <w:r>
        <w:rPr>
          <w:w w:val="105"/>
        </w:rPr>
        <w:t>disposal</w:t>
      </w:r>
      <w:r>
        <w:rPr>
          <w:spacing w:val="-7"/>
          <w:w w:val="105"/>
        </w:rPr>
        <w:t xml:space="preserve"> </w:t>
      </w:r>
      <w:r>
        <w:rPr>
          <w:w w:val="105"/>
        </w:rPr>
        <w:t>of</w:t>
      </w:r>
      <w:r>
        <w:rPr>
          <w:spacing w:val="-11"/>
          <w:w w:val="105"/>
        </w:rPr>
        <w:t xml:space="preserve"> </w:t>
      </w:r>
      <w:r>
        <w:rPr>
          <w:w w:val="105"/>
        </w:rPr>
        <w:t>the</w:t>
      </w:r>
      <w:r>
        <w:rPr>
          <w:spacing w:val="-19"/>
          <w:w w:val="105"/>
        </w:rPr>
        <w:t xml:space="preserve"> </w:t>
      </w:r>
      <w:r>
        <w:rPr>
          <w:w w:val="105"/>
        </w:rPr>
        <w:t>public,</w:t>
      </w:r>
      <w:r>
        <w:rPr>
          <w:spacing w:val="-17"/>
          <w:w w:val="105"/>
        </w:rPr>
        <w:t xml:space="preserve"> </w:t>
      </w:r>
      <w:r>
        <w:rPr>
          <w:w w:val="105"/>
        </w:rPr>
        <w:t>for reward;</w:t>
      </w:r>
    </w:p>
    <w:p w14:paraId="35F963FF" w14:textId="77777777" w:rsidR="00592E14" w:rsidRDefault="00592E14" w:rsidP="00592E14">
      <w:pPr>
        <w:pStyle w:val="REG-P0"/>
        <w:rPr>
          <w:sz w:val="23"/>
        </w:rPr>
      </w:pPr>
    </w:p>
    <w:p w14:paraId="3B7E08C0" w14:textId="77777777" w:rsidR="00592E14" w:rsidRDefault="00206481" w:rsidP="00592E14">
      <w:pPr>
        <w:pStyle w:val="REG-P0"/>
      </w:pPr>
      <w:r>
        <w:rPr>
          <w:b/>
        </w:rPr>
        <w:t>“project”</w:t>
      </w:r>
      <w:r>
        <w:t xml:space="preserve"> means a building scheme or commission for the carrying out of all or part of the work for which an architect is commissioned;</w:t>
      </w:r>
    </w:p>
    <w:p w14:paraId="6D2282CB" w14:textId="77777777" w:rsidR="00592E14" w:rsidRDefault="00592E14" w:rsidP="00592E14">
      <w:pPr>
        <w:pStyle w:val="REG-P0"/>
        <w:rPr>
          <w:sz w:val="16"/>
        </w:rPr>
      </w:pPr>
    </w:p>
    <w:p w14:paraId="600085CD" w14:textId="77777777" w:rsidR="00592E14" w:rsidRDefault="00206481" w:rsidP="00592E14">
      <w:pPr>
        <w:pStyle w:val="REG-P0"/>
      </w:pPr>
      <w:r>
        <w:rPr>
          <w:b/>
        </w:rPr>
        <w:t>“shop drawings”</w:t>
      </w:r>
      <w:r>
        <w:t xml:space="preserve"> means drawings prepared by a contractor, sub-contractor or other person for the purposes of co-ordinating and executing construction work;</w:t>
      </w:r>
    </w:p>
    <w:p w14:paraId="0F1A0495" w14:textId="77777777" w:rsidR="00641F69" w:rsidRDefault="00641F69" w:rsidP="00592E14">
      <w:pPr>
        <w:pStyle w:val="REG-P0"/>
      </w:pPr>
    </w:p>
    <w:p w14:paraId="742E8C50" w14:textId="77777777" w:rsidR="00592E14" w:rsidRDefault="00206481" w:rsidP="00592E14">
      <w:pPr>
        <w:pStyle w:val="REG-P0"/>
      </w:pPr>
      <w:r>
        <w:rPr>
          <w:b/>
          <w:w w:val="105"/>
        </w:rPr>
        <w:t>“specifications”</w:t>
      </w:r>
      <w:r>
        <w:rPr>
          <w:w w:val="105"/>
        </w:rPr>
        <w:t xml:space="preserve"> means written descriptions, schedules or</w:t>
      </w:r>
      <w:r>
        <w:rPr>
          <w:spacing w:val="-43"/>
          <w:w w:val="105"/>
        </w:rPr>
        <w:t xml:space="preserve"> </w:t>
      </w:r>
      <w:r>
        <w:rPr>
          <w:w w:val="105"/>
        </w:rPr>
        <w:t>requirements relating to materials,</w:t>
      </w:r>
      <w:r>
        <w:rPr>
          <w:spacing w:val="-34"/>
          <w:w w:val="105"/>
        </w:rPr>
        <w:t xml:space="preserve"> </w:t>
      </w:r>
      <w:r>
        <w:rPr>
          <w:w w:val="105"/>
        </w:rPr>
        <w:t>workmanship</w:t>
      </w:r>
      <w:r>
        <w:rPr>
          <w:spacing w:val="-33"/>
          <w:w w:val="105"/>
        </w:rPr>
        <w:t xml:space="preserve"> </w:t>
      </w:r>
      <w:r>
        <w:rPr>
          <w:w w:val="105"/>
        </w:rPr>
        <w:t>and</w:t>
      </w:r>
      <w:r>
        <w:rPr>
          <w:spacing w:val="-40"/>
          <w:w w:val="105"/>
        </w:rPr>
        <w:t xml:space="preserve"> </w:t>
      </w:r>
      <w:r>
        <w:rPr>
          <w:w w:val="105"/>
        </w:rPr>
        <w:t>equipment,</w:t>
      </w:r>
      <w:r>
        <w:rPr>
          <w:spacing w:val="-32"/>
          <w:w w:val="105"/>
        </w:rPr>
        <w:t xml:space="preserve"> </w:t>
      </w:r>
      <w:r>
        <w:rPr>
          <w:w w:val="105"/>
        </w:rPr>
        <w:t>manufacture,</w:t>
      </w:r>
      <w:r>
        <w:rPr>
          <w:spacing w:val="-30"/>
          <w:w w:val="105"/>
        </w:rPr>
        <w:t xml:space="preserve"> </w:t>
      </w:r>
      <w:r>
        <w:rPr>
          <w:w w:val="105"/>
        </w:rPr>
        <w:t>methods</w:t>
      </w:r>
      <w:r>
        <w:rPr>
          <w:spacing w:val="-37"/>
          <w:w w:val="105"/>
        </w:rPr>
        <w:t xml:space="preserve"> </w:t>
      </w:r>
      <w:r>
        <w:rPr>
          <w:w w:val="105"/>
        </w:rPr>
        <w:t>of</w:t>
      </w:r>
      <w:r>
        <w:rPr>
          <w:spacing w:val="-37"/>
          <w:w w:val="105"/>
        </w:rPr>
        <w:t xml:space="preserve"> </w:t>
      </w:r>
      <w:r>
        <w:rPr>
          <w:w w:val="105"/>
        </w:rPr>
        <w:t>installation,</w:t>
      </w:r>
      <w:r>
        <w:rPr>
          <w:spacing w:val="-35"/>
          <w:w w:val="105"/>
        </w:rPr>
        <w:t xml:space="preserve"> </w:t>
      </w:r>
      <w:r>
        <w:rPr>
          <w:w w:val="105"/>
        </w:rPr>
        <w:t>design and performance</w:t>
      </w:r>
      <w:r>
        <w:rPr>
          <w:spacing w:val="12"/>
          <w:w w:val="105"/>
        </w:rPr>
        <w:t xml:space="preserve"> </w:t>
      </w:r>
      <w:r>
        <w:rPr>
          <w:w w:val="105"/>
        </w:rPr>
        <w:t>criteria;</w:t>
      </w:r>
    </w:p>
    <w:p w14:paraId="38C9BE24" w14:textId="77777777" w:rsidR="00592E14" w:rsidRDefault="00592E14" w:rsidP="00592E14">
      <w:pPr>
        <w:pStyle w:val="REG-P0"/>
        <w:rPr>
          <w:sz w:val="24"/>
        </w:rPr>
      </w:pPr>
    </w:p>
    <w:p w14:paraId="2E904644" w14:textId="77777777" w:rsidR="00592E14" w:rsidRDefault="00206481" w:rsidP="00592E14">
      <w:pPr>
        <w:pStyle w:val="REG-P0"/>
      </w:pPr>
      <w:r>
        <w:rPr>
          <w:b/>
          <w:w w:val="105"/>
        </w:rPr>
        <w:t>“working drawings”</w:t>
      </w:r>
      <w:r>
        <w:rPr>
          <w:w w:val="105"/>
        </w:rPr>
        <w:t xml:space="preserve"> means graphic representations, including plans, sections, elevations, site plans, construction details, service co-ordination information, schedules and such other details and representations as are within the reasonable competence</w:t>
      </w:r>
      <w:r>
        <w:rPr>
          <w:spacing w:val="-15"/>
          <w:w w:val="105"/>
        </w:rPr>
        <w:t xml:space="preserve"> </w:t>
      </w:r>
      <w:r>
        <w:rPr>
          <w:w w:val="105"/>
        </w:rPr>
        <w:t>of</w:t>
      </w:r>
      <w:r>
        <w:rPr>
          <w:spacing w:val="-15"/>
          <w:w w:val="105"/>
        </w:rPr>
        <w:t xml:space="preserve"> </w:t>
      </w:r>
      <w:r>
        <w:rPr>
          <w:w w:val="105"/>
        </w:rPr>
        <w:t>a</w:t>
      </w:r>
      <w:r>
        <w:rPr>
          <w:spacing w:val="-25"/>
          <w:w w:val="105"/>
        </w:rPr>
        <w:t xml:space="preserve"> </w:t>
      </w:r>
      <w:r>
        <w:rPr>
          <w:w w:val="105"/>
        </w:rPr>
        <w:t>registered</w:t>
      </w:r>
      <w:r>
        <w:rPr>
          <w:spacing w:val="-11"/>
          <w:w w:val="105"/>
        </w:rPr>
        <w:t xml:space="preserve"> </w:t>
      </w:r>
      <w:r>
        <w:rPr>
          <w:w w:val="105"/>
        </w:rPr>
        <w:t>architect,</w:t>
      </w:r>
      <w:r>
        <w:rPr>
          <w:spacing w:val="-15"/>
          <w:w w:val="105"/>
        </w:rPr>
        <w:t xml:space="preserve"> </w:t>
      </w:r>
      <w:r>
        <w:rPr>
          <w:w w:val="105"/>
        </w:rPr>
        <w:t>which</w:t>
      </w:r>
      <w:r>
        <w:rPr>
          <w:spacing w:val="-15"/>
          <w:w w:val="105"/>
        </w:rPr>
        <w:t xml:space="preserve"> </w:t>
      </w:r>
      <w:r>
        <w:rPr>
          <w:w w:val="105"/>
        </w:rPr>
        <w:t>are</w:t>
      </w:r>
      <w:r>
        <w:rPr>
          <w:spacing w:val="-27"/>
          <w:w w:val="105"/>
        </w:rPr>
        <w:t xml:space="preserve"> </w:t>
      </w:r>
      <w:r>
        <w:rPr>
          <w:w w:val="105"/>
        </w:rPr>
        <w:t>sufficient</w:t>
      </w:r>
      <w:r>
        <w:rPr>
          <w:spacing w:val="-8"/>
          <w:w w:val="105"/>
        </w:rPr>
        <w:t xml:space="preserve"> </w:t>
      </w:r>
      <w:r>
        <w:rPr>
          <w:w w:val="105"/>
        </w:rPr>
        <w:t>to</w:t>
      </w:r>
      <w:r>
        <w:rPr>
          <w:spacing w:val="-26"/>
          <w:w w:val="105"/>
        </w:rPr>
        <w:t xml:space="preserve"> </w:t>
      </w:r>
      <w:r>
        <w:rPr>
          <w:w w:val="105"/>
        </w:rPr>
        <w:t>indicate</w:t>
      </w:r>
      <w:r>
        <w:rPr>
          <w:spacing w:val="-19"/>
          <w:w w:val="105"/>
        </w:rPr>
        <w:t xml:space="preserve"> </w:t>
      </w:r>
      <w:r>
        <w:rPr>
          <w:w w:val="105"/>
        </w:rPr>
        <w:t>the</w:t>
      </w:r>
      <w:r>
        <w:rPr>
          <w:spacing w:val="-26"/>
          <w:w w:val="105"/>
        </w:rPr>
        <w:t xml:space="preserve"> </w:t>
      </w:r>
      <w:r>
        <w:rPr>
          <w:w w:val="105"/>
        </w:rPr>
        <w:t>scope</w:t>
      </w:r>
      <w:r>
        <w:rPr>
          <w:spacing w:val="-24"/>
          <w:w w:val="105"/>
        </w:rPr>
        <w:t xml:space="preserve"> </w:t>
      </w:r>
      <w:r>
        <w:rPr>
          <w:w w:val="105"/>
        </w:rPr>
        <w:t>of</w:t>
      </w:r>
      <w:r>
        <w:rPr>
          <w:spacing w:val="-15"/>
          <w:w w:val="105"/>
        </w:rPr>
        <w:t xml:space="preserve"> </w:t>
      </w:r>
      <w:r>
        <w:rPr>
          <w:w w:val="105"/>
        </w:rPr>
        <w:t>the works for the purposes of the execution of the</w:t>
      </w:r>
      <w:r>
        <w:rPr>
          <w:spacing w:val="-28"/>
          <w:w w:val="105"/>
        </w:rPr>
        <w:t xml:space="preserve"> </w:t>
      </w:r>
      <w:r>
        <w:rPr>
          <w:w w:val="105"/>
        </w:rPr>
        <w:t>project;</w:t>
      </w:r>
    </w:p>
    <w:p w14:paraId="6FE47AB6" w14:textId="77777777" w:rsidR="00592E14" w:rsidRDefault="00592E14" w:rsidP="00592E14">
      <w:pPr>
        <w:pStyle w:val="REG-P0"/>
        <w:rPr>
          <w:sz w:val="24"/>
        </w:rPr>
      </w:pPr>
    </w:p>
    <w:p w14:paraId="2B449A6B" w14:textId="77777777" w:rsidR="00592E14" w:rsidRDefault="00206481" w:rsidP="00592E14">
      <w:pPr>
        <w:pStyle w:val="REG-P0"/>
      </w:pPr>
      <w:r>
        <w:rPr>
          <w:b/>
          <w:w w:val="105"/>
        </w:rPr>
        <w:t>“works”</w:t>
      </w:r>
      <w:r>
        <w:rPr>
          <w:w w:val="105"/>
        </w:rPr>
        <w:t xml:space="preserve"> means a building scheme in the course of construction or as executed.</w:t>
      </w:r>
    </w:p>
    <w:p w14:paraId="01E4CFEB" w14:textId="77777777" w:rsidR="00D838A0" w:rsidRPr="00641F69" w:rsidRDefault="00D838A0" w:rsidP="00641F69">
      <w:pPr>
        <w:pStyle w:val="REG-P0"/>
      </w:pPr>
    </w:p>
    <w:p w14:paraId="42092411" w14:textId="77777777" w:rsidR="00641F69" w:rsidRPr="00641F69" w:rsidRDefault="00206481" w:rsidP="00641F69">
      <w:pPr>
        <w:pStyle w:val="REG-P0"/>
        <w:rPr>
          <w:b/>
        </w:rPr>
      </w:pPr>
      <w:r w:rsidRPr="00641F69">
        <w:rPr>
          <w:b/>
        </w:rPr>
        <w:t>Remuneration</w:t>
      </w:r>
    </w:p>
    <w:p w14:paraId="73B974C5" w14:textId="77777777" w:rsidR="00641F69" w:rsidRPr="00641F69" w:rsidRDefault="00641F69" w:rsidP="00641F69">
      <w:pPr>
        <w:pStyle w:val="REG-P0"/>
      </w:pPr>
    </w:p>
    <w:p w14:paraId="2CC19D2F" w14:textId="77777777" w:rsidR="00641F69" w:rsidRPr="00641F69" w:rsidRDefault="00206481" w:rsidP="00641F69">
      <w:pPr>
        <w:pStyle w:val="REG-P1"/>
      </w:pPr>
      <w:r w:rsidRPr="00641F69">
        <w:t>(1)</w:t>
      </w:r>
      <w:r w:rsidRPr="00641F69">
        <w:tab/>
        <w:t>The architect shall be remunerated for the standard services at a</w:t>
      </w:r>
      <w:r>
        <w:t xml:space="preserve"> </w:t>
      </w:r>
      <w:r w:rsidRPr="00641F69">
        <w:t>fee calculated as a percentage of the cost of the works but where the work is of such a nature that percentage fees are not applicable, the fee shall be calculated on a time</w:t>
      </w:r>
      <w:r>
        <w:t xml:space="preserve"> </w:t>
      </w:r>
      <w:r w:rsidRPr="00641F69">
        <w:t>basis in accordance with the rates set out in Annexure 2.</w:t>
      </w:r>
    </w:p>
    <w:p w14:paraId="1AB7D20B" w14:textId="77777777" w:rsidR="00641F69" w:rsidRPr="00641F69" w:rsidRDefault="00641F69" w:rsidP="00641F69">
      <w:pPr>
        <w:pStyle w:val="REG-P1"/>
      </w:pPr>
    </w:p>
    <w:p w14:paraId="1901ABCB" w14:textId="77777777" w:rsidR="00641F69" w:rsidRPr="00641F69" w:rsidRDefault="00206481" w:rsidP="00641F69">
      <w:pPr>
        <w:pStyle w:val="REG-P1"/>
      </w:pPr>
      <w:r>
        <w:t>(2)</w:t>
      </w:r>
      <w:r>
        <w:tab/>
      </w:r>
      <w:r w:rsidRPr="00641F69">
        <w:t>Standard services shall include the co-ordination of the work of consultants such as quantity surveyors, civil, structural, electrical, heating, ventilating and plumbing</w:t>
      </w:r>
      <w:r w:rsidR="00CC7443">
        <w:t xml:space="preserve"> engineers or other consultants’</w:t>
      </w:r>
      <w:r w:rsidRPr="00641F69">
        <w:t xml:space="preserve"> services.</w:t>
      </w:r>
    </w:p>
    <w:p w14:paraId="70283C45" w14:textId="77777777" w:rsidR="00641F69" w:rsidRPr="00641F69" w:rsidRDefault="00641F69" w:rsidP="00641F69">
      <w:pPr>
        <w:pStyle w:val="REG-P1"/>
      </w:pPr>
    </w:p>
    <w:p w14:paraId="529D25BE" w14:textId="77777777" w:rsidR="00641F69" w:rsidRPr="00641F69" w:rsidRDefault="00206481" w:rsidP="00641F69">
      <w:pPr>
        <w:pStyle w:val="REG-P1"/>
      </w:pPr>
      <w:r>
        <w:t>(3)</w:t>
      </w:r>
      <w:r>
        <w:tab/>
      </w:r>
      <w:r w:rsidRPr="00641F69">
        <w:t>In simple installations, where the level of complexity and difficulty of the work normally executed by the consultants is within the capabilities of an architect, some or all the services referred to in subparagraph (2) may be included in standard services.</w:t>
      </w:r>
    </w:p>
    <w:p w14:paraId="71BDBB78" w14:textId="77777777" w:rsidR="00641F69" w:rsidRPr="00641F69" w:rsidRDefault="00641F69" w:rsidP="00641F69">
      <w:pPr>
        <w:pStyle w:val="REG-P1"/>
      </w:pPr>
    </w:p>
    <w:p w14:paraId="16CDD572" w14:textId="77777777" w:rsidR="00641F69" w:rsidRPr="00641F69" w:rsidRDefault="00206481" w:rsidP="00641F69">
      <w:pPr>
        <w:pStyle w:val="REG-P1"/>
      </w:pPr>
      <w:r>
        <w:t>(4)</w:t>
      </w:r>
      <w:r>
        <w:tab/>
      </w:r>
      <w:r w:rsidRPr="00641F69">
        <w:t>Where the architect is required to provide supplementary services as described in paragraph 4, these services shall be remunerated on a time basis in accordance with the rates set out in Annexure 2.</w:t>
      </w:r>
    </w:p>
    <w:p w14:paraId="71822AC9" w14:textId="77777777" w:rsidR="00641F69" w:rsidRPr="00641F69" w:rsidRDefault="00641F69" w:rsidP="00641F69">
      <w:pPr>
        <w:pStyle w:val="REG-P1"/>
      </w:pPr>
    </w:p>
    <w:p w14:paraId="29B05FF3" w14:textId="77777777" w:rsidR="00641F69" w:rsidRPr="00641F69" w:rsidRDefault="00206481" w:rsidP="00641F69">
      <w:pPr>
        <w:pStyle w:val="REG-P1"/>
      </w:pPr>
      <w:r>
        <w:t>(5)</w:t>
      </w:r>
      <w:r>
        <w:tab/>
      </w:r>
      <w:r w:rsidRPr="00641F69">
        <w:t>Any fees or remuneration calculated or specified in terms of this notice are exclusive of statutory taxes.</w:t>
      </w:r>
    </w:p>
    <w:p w14:paraId="6E5DBBBA" w14:textId="77777777" w:rsidR="00641F69" w:rsidRDefault="00641F69" w:rsidP="00592E14">
      <w:pPr>
        <w:pStyle w:val="REG-P0"/>
      </w:pPr>
    </w:p>
    <w:p w14:paraId="1CF7AF3B" w14:textId="77777777" w:rsidR="00641F69" w:rsidRPr="00641F69" w:rsidRDefault="00206481" w:rsidP="00641F69">
      <w:pPr>
        <w:pStyle w:val="REG-P0"/>
        <w:rPr>
          <w:b/>
        </w:rPr>
      </w:pPr>
      <w:r w:rsidRPr="00641F69">
        <w:rPr>
          <w:b/>
        </w:rPr>
        <w:t>Standard Services</w:t>
      </w:r>
    </w:p>
    <w:p w14:paraId="650A2A32" w14:textId="77777777" w:rsidR="00641F69" w:rsidRDefault="00641F69" w:rsidP="00641F69">
      <w:pPr>
        <w:pStyle w:val="REG-P0"/>
        <w:rPr>
          <w:sz w:val="26"/>
        </w:rPr>
      </w:pPr>
    </w:p>
    <w:p w14:paraId="5201B01B" w14:textId="77777777" w:rsidR="00641F69" w:rsidRDefault="00206481" w:rsidP="00641F69">
      <w:pPr>
        <w:pStyle w:val="REG-P1"/>
      </w:pPr>
      <w:r>
        <w:rPr>
          <w:b/>
        </w:rPr>
        <w:t>3.</w:t>
      </w:r>
      <w:r>
        <w:rPr>
          <w:b/>
        </w:rPr>
        <w:tab/>
      </w:r>
      <w:r>
        <w:t>Standard services for which the architect is responsible, are set out below in a manner indicating a common sequence of activities, set out in stages, but the activities may be grouped differently by agreement with the</w:t>
      </w:r>
      <w:r>
        <w:rPr>
          <w:spacing w:val="-13"/>
        </w:rPr>
        <w:t xml:space="preserve"> </w:t>
      </w:r>
      <w:r>
        <w:t>client.</w:t>
      </w:r>
    </w:p>
    <w:p w14:paraId="25CDE3E3" w14:textId="77777777" w:rsidR="00641F69" w:rsidRDefault="00641F69" w:rsidP="00641F69">
      <w:pPr>
        <w:pStyle w:val="REG-P0"/>
        <w:rPr>
          <w:sz w:val="24"/>
        </w:rPr>
      </w:pPr>
    </w:p>
    <w:p w14:paraId="66AC3A67" w14:textId="77777777" w:rsidR="00CC7443" w:rsidRDefault="00CC7443" w:rsidP="00CC7443">
      <w:pPr>
        <w:pStyle w:val="REG-Amend"/>
      </w:pPr>
      <w:r>
        <w:t xml:space="preserve">[This introductory provision has no </w:t>
      </w:r>
      <w:r w:rsidR="009910E8">
        <w:t>sub</w:t>
      </w:r>
      <w:r w:rsidR="00E43277">
        <w:t xml:space="preserve">item </w:t>
      </w:r>
      <w:r>
        <w:t xml:space="preserve">number in the </w:t>
      </w:r>
      <w:r w:rsidRPr="00CC7443">
        <w:rPr>
          <w:i/>
        </w:rPr>
        <w:t>Government Gazette</w:t>
      </w:r>
      <w:r>
        <w:t>.]</w:t>
      </w:r>
    </w:p>
    <w:p w14:paraId="7849716F" w14:textId="77777777" w:rsidR="00CC7443" w:rsidRDefault="00CC7443" w:rsidP="00641F69">
      <w:pPr>
        <w:pStyle w:val="REG-P0"/>
        <w:rPr>
          <w:sz w:val="24"/>
        </w:rPr>
      </w:pPr>
    </w:p>
    <w:p w14:paraId="34919E5E" w14:textId="77777777" w:rsidR="00641F69" w:rsidRDefault="00206481" w:rsidP="00641F69">
      <w:pPr>
        <w:pStyle w:val="REG-P1"/>
      </w:pPr>
      <w:r>
        <w:t>(1)</w:t>
      </w:r>
      <w:r>
        <w:tab/>
        <w:t>Stage 1 deals with the appraisal and definition of the project and during this stage the architect shall</w:t>
      </w:r>
      <w:r>
        <w:rPr>
          <w:spacing w:val="47"/>
        </w:rPr>
        <w:t xml:space="preserve"> </w:t>
      </w:r>
      <w:r>
        <w:t>-</w:t>
      </w:r>
    </w:p>
    <w:p w14:paraId="51755D7B" w14:textId="77777777" w:rsidR="00641F69" w:rsidRDefault="00641F69" w:rsidP="00641F69">
      <w:pPr>
        <w:pStyle w:val="REG-P0"/>
        <w:rPr>
          <w:sz w:val="23"/>
        </w:rPr>
      </w:pPr>
    </w:p>
    <w:p w14:paraId="1E900FA7" w14:textId="77777777" w:rsidR="00641F69" w:rsidRPr="00641F69" w:rsidRDefault="00206481" w:rsidP="00641F69">
      <w:pPr>
        <w:pStyle w:val="REG-Pa"/>
      </w:pPr>
      <w:r>
        <w:t>(a)</w:t>
      </w:r>
      <w:r>
        <w:tab/>
      </w:r>
      <w:r w:rsidRPr="00641F69">
        <w:t>fully inform the client of the services to be rendered by the architect and ensure that the client understands the terminology used;</w:t>
      </w:r>
    </w:p>
    <w:p w14:paraId="17B53696" w14:textId="77777777" w:rsidR="00641F69" w:rsidRPr="00641F69" w:rsidRDefault="00641F69" w:rsidP="00641F69">
      <w:pPr>
        <w:pStyle w:val="REG-Pa"/>
      </w:pPr>
    </w:p>
    <w:p w14:paraId="1DFBE5D2" w14:textId="77777777" w:rsidR="00641F69" w:rsidRPr="00641F69" w:rsidRDefault="00206481" w:rsidP="00641F69">
      <w:pPr>
        <w:pStyle w:val="REG-Pa"/>
      </w:pPr>
      <w:r>
        <w:t>(b)</w:t>
      </w:r>
      <w:r>
        <w:tab/>
      </w:r>
      <w:r w:rsidRPr="00641F69">
        <w:t>ensure that the client is aware of costs in relation to space requirements and the scope of fees applicable for the services required;</w:t>
      </w:r>
    </w:p>
    <w:p w14:paraId="63AC6E25" w14:textId="77777777" w:rsidR="00641F69" w:rsidRPr="00641F69" w:rsidRDefault="00641F69" w:rsidP="00641F69">
      <w:pPr>
        <w:pStyle w:val="REG-Pa"/>
      </w:pPr>
    </w:p>
    <w:p w14:paraId="690A7EDF" w14:textId="77777777" w:rsidR="00641F69" w:rsidRPr="00641F69" w:rsidRDefault="00206481" w:rsidP="00641F69">
      <w:pPr>
        <w:pStyle w:val="REG-Pa"/>
      </w:pPr>
      <w:r>
        <w:t>(c)</w:t>
      </w:r>
      <w:r>
        <w:tab/>
      </w:r>
      <w:r w:rsidRPr="00641F69">
        <w:t>explain to the client the mechanisms that come into play when the scope of the work is substantially altered and the effect it will have on fees;</w:t>
      </w:r>
    </w:p>
    <w:p w14:paraId="52B20D66" w14:textId="77777777" w:rsidR="00641F69" w:rsidRPr="00641F69" w:rsidRDefault="00641F69" w:rsidP="00641F69">
      <w:pPr>
        <w:pStyle w:val="REG-Pa"/>
      </w:pPr>
    </w:p>
    <w:p w14:paraId="13B8DA79" w14:textId="77777777" w:rsidR="00641F69" w:rsidRPr="00641F69" w:rsidRDefault="00206481" w:rsidP="00641F69">
      <w:pPr>
        <w:pStyle w:val="REG-Pa"/>
      </w:pPr>
      <w:r>
        <w:t>(d)</w:t>
      </w:r>
      <w:r>
        <w:tab/>
      </w:r>
      <w:r w:rsidRPr="00641F69">
        <w:t>receive, ap</w:t>
      </w:r>
      <w:r w:rsidR="0028032F">
        <w:t>praise and report on the client’</w:t>
      </w:r>
      <w:r w:rsidRPr="00641F69">
        <w:t>s requirements with particular regard to site information, planning and statutory requirements;</w:t>
      </w:r>
    </w:p>
    <w:p w14:paraId="35A21452" w14:textId="77777777" w:rsidR="00641F69" w:rsidRPr="00641F69" w:rsidRDefault="00641F69" w:rsidP="00641F69">
      <w:pPr>
        <w:pStyle w:val="REG-Pa"/>
      </w:pPr>
    </w:p>
    <w:p w14:paraId="25F268C1" w14:textId="77777777" w:rsidR="00641F69" w:rsidRPr="00641F69" w:rsidRDefault="00206481" w:rsidP="00641F69">
      <w:pPr>
        <w:pStyle w:val="REG-Pa"/>
      </w:pPr>
      <w:r>
        <w:t>(e)</w:t>
      </w:r>
      <w:r>
        <w:tab/>
      </w:r>
      <w:r w:rsidRPr="00641F69">
        <w:t>advise the client on the need if any, for the appointment of consultants and procedures to meet the requirements of the client including methods of contracting;</w:t>
      </w:r>
    </w:p>
    <w:p w14:paraId="5FA97B38" w14:textId="77777777" w:rsidR="00641F69" w:rsidRPr="00641F69" w:rsidRDefault="00641F69" w:rsidP="00641F69">
      <w:pPr>
        <w:pStyle w:val="REG-Pa"/>
      </w:pPr>
    </w:p>
    <w:p w14:paraId="03E8FBA6" w14:textId="77777777" w:rsidR="00641F69" w:rsidRPr="00641F69" w:rsidRDefault="00206481" w:rsidP="00641F69">
      <w:pPr>
        <w:pStyle w:val="REG-Pa"/>
      </w:pPr>
      <w:r>
        <w:t>(f)</w:t>
      </w:r>
      <w:r>
        <w:tab/>
      </w:r>
      <w:r w:rsidRPr="00641F69">
        <w:t>ensure that the report referred to in subparagraph (d), is in writing;</w:t>
      </w:r>
    </w:p>
    <w:p w14:paraId="1C0ABCCA" w14:textId="77777777" w:rsidR="00641F69" w:rsidRPr="00641F69" w:rsidRDefault="00641F69" w:rsidP="00641F69">
      <w:pPr>
        <w:pStyle w:val="REG-Pa"/>
      </w:pPr>
    </w:p>
    <w:p w14:paraId="62F94EAC" w14:textId="77777777" w:rsidR="00641F69" w:rsidRPr="00641F69" w:rsidRDefault="00206481" w:rsidP="00641F69">
      <w:pPr>
        <w:pStyle w:val="REG-Pa"/>
      </w:pPr>
      <w:r>
        <w:t>(g)</w:t>
      </w:r>
      <w:r>
        <w:tab/>
      </w:r>
      <w:r w:rsidRPr="00641F69">
        <w:t>pay special attention (in writing) to methods of contracting; and</w:t>
      </w:r>
    </w:p>
    <w:p w14:paraId="114C0CA8" w14:textId="77777777" w:rsidR="00641F69" w:rsidRPr="00641F69" w:rsidRDefault="00641F69" w:rsidP="00641F69">
      <w:pPr>
        <w:pStyle w:val="REG-Pa"/>
      </w:pPr>
    </w:p>
    <w:p w14:paraId="2D8E3949" w14:textId="77777777" w:rsidR="00641F69" w:rsidRPr="00641F69" w:rsidRDefault="00206481" w:rsidP="00641F69">
      <w:pPr>
        <w:pStyle w:val="REG-Pa"/>
      </w:pPr>
      <w:r>
        <w:t>(h)</w:t>
      </w:r>
      <w:r>
        <w:tab/>
      </w:r>
      <w:r w:rsidRPr="00641F69">
        <w:t>preferably sign the Client/Architect Agreement together with the client.</w:t>
      </w:r>
    </w:p>
    <w:p w14:paraId="44387E76" w14:textId="77777777" w:rsidR="00641F69" w:rsidRDefault="00641F69" w:rsidP="00641F69">
      <w:pPr>
        <w:pStyle w:val="REG-P0"/>
        <w:rPr>
          <w:sz w:val="25"/>
        </w:rPr>
      </w:pPr>
    </w:p>
    <w:p w14:paraId="46583FA5" w14:textId="77777777" w:rsidR="00641F69" w:rsidRPr="0028032F" w:rsidRDefault="00206481" w:rsidP="0028032F">
      <w:pPr>
        <w:pStyle w:val="REG-P1"/>
      </w:pPr>
      <w:r w:rsidRPr="0028032F">
        <w:t>(2)</w:t>
      </w:r>
      <w:r w:rsidRPr="0028032F">
        <w:tab/>
        <w:t>Stage 2 deals with the Design Concept of the project and during this stage the architect shall -</w:t>
      </w:r>
    </w:p>
    <w:p w14:paraId="428E816C" w14:textId="77777777" w:rsidR="00641F69" w:rsidRDefault="00641F69" w:rsidP="00641F69">
      <w:pPr>
        <w:pStyle w:val="REG-P0"/>
      </w:pPr>
    </w:p>
    <w:p w14:paraId="7007D5F6" w14:textId="77777777" w:rsidR="00641F69" w:rsidRDefault="00206481" w:rsidP="001A64F1">
      <w:pPr>
        <w:pStyle w:val="REG-Pa"/>
      </w:pPr>
      <w:r>
        <w:rPr>
          <w:w w:val="105"/>
        </w:rPr>
        <w:t>(a)</w:t>
      </w:r>
      <w:r>
        <w:rPr>
          <w:w w:val="105"/>
        </w:rPr>
        <w:tab/>
        <w:t>after</w:t>
      </w:r>
      <w:r>
        <w:rPr>
          <w:spacing w:val="36"/>
          <w:w w:val="105"/>
        </w:rPr>
        <w:t xml:space="preserve"> </w:t>
      </w:r>
      <w:r>
        <w:rPr>
          <w:w w:val="105"/>
        </w:rPr>
        <w:t>being</w:t>
      </w:r>
      <w:r>
        <w:rPr>
          <w:spacing w:val="33"/>
          <w:w w:val="105"/>
        </w:rPr>
        <w:t xml:space="preserve"> </w:t>
      </w:r>
      <w:r>
        <w:rPr>
          <w:w w:val="105"/>
        </w:rPr>
        <w:t>advised</w:t>
      </w:r>
      <w:r>
        <w:rPr>
          <w:spacing w:val="50"/>
          <w:w w:val="105"/>
        </w:rPr>
        <w:t xml:space="preserve"> </w:t>
      </w:r>
      <w:r>
        <w:rPr>
          <w:w w:val="105"/>
        </w:rPr>
        <w:t>by</w:t>
      </w:r>
      <w:r>
        <w:rPr>
          <w:spacing w:val="36"/>
          <w:w w:val="105"/>
        </w:rPr>
        <w:t xml:space="preserve"> </w:t>
      </w:r>
      <w:r>
        <w:rPr>
          <w:w w:val="105"/>
        </w:rPr>
        <w:t>any</w:t>
      </w:r>
      <w:r>
        <w:rPr>
          <w:spacing w:val="34"/>
          <w:w w:val="105"/>
        </w:rPr>
        <w:t xml:space="preserve"> </w:t>
      </w:r>
      <w:r>
        <w:rPr>
          <w:w w:val="105"/>
        </w:rPr>
        <w:t>consultants</w:t>
      </w:r>
      <w:r>
        <w:rPr>
          <w:spacing w:val="36"/>
          <w:w w:val="105"/>
        </w:rPr>
        <w:t xml:space="preserve"> </w:t>
      </w:r>
      <w:r>
        <w:rPr>
          <w:w w:val="105"/>
        </w:rPr>
        <w:t>appointed,</w:t>
      </w:r>
      <w:r>
        <w:rPr>
          <w:spacing w:val="43"/>
          <w:w w:val="105"/>
        </w:rPr>
        <w:t xml:space="preserve"> </w:t>
      </w:r>
      <w:r>
        <w:rPr>
          <w:w w:val="105"/>
        </w:rPr>
        <w:t>prepare</w:t>
      </w:r>
      <w:r>
        <w:rPr>
          <w:spacing w:val="36"/>
          <w:w w:val="105"/>
        </w:rPr>
        <w:t xml:space="preserve"> </w:t>
      </w:r>
      <w:r>
        <w:rPr>
          <w:w w:val="105"/>
        </w:rPr>
        <w:t>a</w:t>
      </w:r>
      <w:r>
        <w:rPr>
          <w:spacing w:val="27"/>
          <w:w w:val="105"/>
        </w:rPr>
        <w:t xml:space="preserve"> </w:t>
      </w:r>
      <w:r>
        <w:rPr>
          <w:w w:val="105"/>
        </w:rPr>
        <w:t xml:space="preserve">design </w:t>
      </w:r>
      <w:r>
        <w:t>showing space provisions, planning relationships, standards of materials intended to be used and standards and suitability of services in sufficient detail to enable the design to be approved by the client;</w:t>
      </w:r>
    </w:p>
    <w:p w14:paraId="77A83460" w14:textId="77777777" w:rsidR="00641F69" w:rsidRDefault="00641F69" w:rsidP="001A64F1">
      <w:pPr>
        <w:pStyle w:val="REG-Pa"/>
        <w:rPr>
          <w:sz w:val="24"/>
        </w:rPr>
      </w:pPr>
    </w:p>
    <w:p w14:paraId="0AEE4A61" w14:textId="77777777" w:rsidR="00641F69" w:rsidRDefault="00206481" w:rsidP="001A64F1">
      <w:pPr>
        <w:pStyle w:val="REG-Pa"/>
      </w:pPr>
      <w:r>
        <w:t>(b)</w:t>
      </w:r>
      <w:r>
        <w:tab/>
        <w:t>advise the client on the feasibility of the project as designed, estimated costs, budget, time schedule and statutory requirements;</w:t>
      </w:r>
      <w:r>
        <w:rPr>
          <w:spacing w:val="-5"/>
        </w:rPr>
        <w:t xml:space="preserve"> </w:t>
      </w:r>
      <w:r>
        <w:t>and</w:t>
      </w:r>
    </w:p>
    <w:p w14:paraId="72A81652" w14:textId="77777777" w:rsidR="00641F69" w:rsidRDefault="00641F69" w:rsidP="001A64F1">
      <w:pPr>
        <w:pStyle w:val="REG-Pa"/>
        <w:rPr>
          <w:sz w:val="23"/>
        </w:rPr>
      </w:pPr>
    </w:p>
    <w:p w14:paraId="356D32A3" w14:textId="77777777" w:rsidR="00641F69" w:rsidRDefault="00206481" w:rsidP="001A64F1">
      <w:pPr>
        <w:pStyle w:val="REG-Pa"/>
      </w:pPr>
      <w:r>
        <w:rPr>
          <w:w w:val="105"/>
        </w:rPr>
        <w:t>(c)</w:t>
      </w:r>
      <w:r>
        <w:rPr>
          <w:w w:val="105"/>
        </w:rPr>
        <w:tab/>
        <w:t>provide the client with</w:t>
      </w:r>
      <w:r>
        <w:rPr>
          <w:spacing w:val="19"/>
          <w:w w:val="105"/>
        </w:rPr>
        <w:t xml:space="preserve"> </w:t>
      </w:r>
      <w:r>
        <w:rPr>
          <w:w w:val="105"/>
        </w:rPr>
        <w:t>-</w:t>
      </w:r>
    </w:p>
    <w:p w14:paraId="393C71F4" w14:textId="77777777" w:rsidR="00641F69" w:rsidRDefault="00641F69" w:rsidP="00641F69">
      <w:pPr>
        <w:pStyle w:val="REG-P0"/>
        <w:rPr>
          <w:sz w:val="25"/>
        </w:rPr>
      </w:pPr>
    </w:p>
    <w:p w14:paraId="5EEC7634" w14:textId="77777777" w:rsidR="00641F69" w:rsidRDefault="00206481" w:rsidP="001A64F1">
      <w:pPr>
        <w:pStyle w:val="REG-Pi"/>
      </w:pPr>
      <w:r>
        <w:rPr>
          <w:w w:val="105"/>
        </w:rPr>
        <w:t>(i)</w:t>
      </w:r>
      <w:r>
        <w:rPr>
          <w:w w:val="105"/>
        </w:rPr>
        <w:tab/>
        <w:t>a locality</w:t>
      </w:r>
      <w:r>
        <w:rPr>
          <w:spacing w:val="11"/>
          <w:w w:val="105"/>
        </w:rPr>
        <w:t xml:space="preserve"> </w:t>
      </w:r>
      <w:r>
        <w:rPr>
          <w:w w:val="105"/>
        </w:rPr>
        <w:t>plan;</w:t>
      </w:r>
    </w:p>
    <w:p w14:paraId="307F9D8E" w14:textId="77777777" w:rsidR="00641F69" w:rsidRDefault="00641F69" w:rsidP="001A64F1">
      <w:pPr>
        <w:pStyle w:val="REG-Pi"/>
        <w:rPr>
          <w:sz w:val="26"/>
        </w:rPr>
      </w:pPr>
    </w:p>
    <w:p w14:paraId="2ACC234F" w14:textId="77777777" w:rsidR="00641F69" w:rsidRDefault="00206481" w:rsidP="001A64F1">
      <w:pPr>
        <w:pStyle w:val="REG-Pi"/>
      </w:pPr>
      <w:r>
        <w:rPr>
          <w:w w:val="105"/>
        </w:rPr>
        <w:t>(ii)</w:t>
      </w:r>
      <w:r>
        <w:rPr>
          <w:w w:val="105"/>
        </w:rPr>
        <w:tab/>
        <w:t>a site</w:t>
      </w:r>
      <w:r>
        <w:rPr>
          <w:spacing w:val="-9"/>
          <w:w w:val="105"/>
        </w:rPr>
        <w:t xml:space="preserve"> </w:t>
      </w:r>
      <w:r>
        <w:rPr>
          <w:w w:val="105"/>
        </w:rPr>
        <w:t>plan;</w:t>
      </w:r>
    </w:p>
    <w:p w14:paraId="7473558D" w14:textId="77777777" w:rsidR="00641F69" w:rsidRDefault="00641F69" w:rsidP="001A64F1">
      <w:pPr>
        <w:pStyle w:val="REG-Pi"/>
        <w:rPr>
          <w:sz w:val="25"/>
        </w:rPr>
      </w:pPr>
    </w:p>
    <w:p w14:paraId="07A609D9" w14:textId="77777777" w:rsidR="00641F69" w:rsidRDefault="00206481" w:rsidP="001A64F1">
      <w:pPr>
        <w:pStyle w:val="REG-Pi"/>
      </w:pPr>
      <w:r>
        <w:rPr>
          <w:w w:val="105"/>
        </w:rPr>
        <w:t>(iii)</w:t>
      </w:r>
      <w:r>
        <w:rPr>
          <w:w w:val="105"/>
        </w:rPr>
        <w:tab/>
        <w:t>floor</w:t>
      </w:r>
      <w:r>
        <w:rPr>
          <w:spacing w:val="4"/>
          <w:w w:val="105"/>
        </w:rPr>
        <w:t xml:space="preserve"> </w:t>
      </w:r>
      <w:r>
        <w:rPr>
          <w:w w:val="105"/>
        </w:rPr>
        <w:t>plan(s);</w:t>
      </w:r>
    </w:p>
    <w:p w14:paraId="07D4749F" w14:textId="77777777" w:rsidR="00641F69" w:rsidRDefault="00641F69" w:rsidP="001A64F1">
      <w:pPr>
        <w:pStyle w:val="REG-Pi"/>
        <w:rPr>
          <w:sz w:val="25"/>
        </w:rPr>
      </w:pPr>
    </w:p>
    <w:p w14:paraId="7C8AA05F" w14:textId="77777777" w:rsidR="00641F69" w:rsidRDefault="00206481" w:rsidP="001A64F1">
      <w:pPr>
        <w:pStyle w:val="REG-Pi"/>
      </w:pPr>
      <w:r>
        <w:t>(iv)</w:t>
      </w:r>
      <w:r>
        <w:tab/>
        <w:t>sections and elevations to illustrate the</w:t>
      </w:r>
      <w:r w:rsidRPr="00221FA4">
        <w:rPr>
          <w:spacing w:val="9"/>
        </w:rPr>
        <w:t xml:space="preserve"> </w:t>
      </w:r>
      <w:r>
        <w:t>design;</w:t>
      </w:r>
    </w:p>
    <w:p w14:paraId="6D374795" w14:textId="77777777" w:rsidR="001A64F1" w:rsidRDefault="001A64F1" w:rsidP="001A64F1">
      <w:pPr>
        <w:pStyle w:val="REG-Pi"/>
      </w:pPr>
    </w:p>
    <w:p w14:paraId="7CC20EB2" w14:textId="77777777" w:rsidR="00641F69" w:rsidRDefault="00206481" w:rsidP="001A64F1">
      <w:pPr>
        <w:pStyle w:val="REG-Pi"/>
      </w:pPr>
      <w:r>
        <w:t>(v)</w:t>
      </w:r>
      <w:r>
        <w:tab/>
        <w:t>preliminary</w:t>
      </w:r>
      <w:r w:rsidRPr="00221FA4">
        <w:rPr>
          <w:spacing w:val="-2"/>
        </w:rPr>
        <w:t xml:space="preserve"> </w:t>
      </w:r>
      <w:r>
        <w:t>schedule</w:t>
      </w:r>
      <w:r w:rsidRPr="00221FA4">
        <w:rPr>
          <w:spacing w:val="-10"/>
        </w:rPr>
        <w:t xml:space="preserve"> </w:t>
      </w:r>
      <w:r>
        <w:t>of</w:t>
      </w:r>
      <w:r w:rsidRPr="00221FA4">
        <w:rPr>
          <w:spacing w:val="-11"/>
        </w:rPr>
        <w:t xml:space="preserve"> </w:t>
      </w:r>
      <w:r>
        <w:t>proposed</w:t>
      </w:r>
      <w:r w:rsidRPr="00221FA4">
        <w:rPr>
          <w:spacing w:val="-9"/>
        </w:rPr>
        <w:t xml:space="preserve"> </w:t>
      </w:r>
      <w:r>
        <w:t>materials</w:t>
      </w:r>
      <w:r w:rsidRPr="00221FA4">
        <w:rPr>
          <w:spacing w:val="-13"/>
        </w:rPr>
        <w:t xml:space="preserve"> </w:t>
      </w:r>
      <w:r>
        <w:t>and</w:t>
      </w:r>
      <w:r w:rsidRPr="00221FA4">
        <w:rPr>
          <w:spacing w:val="-18"/>
        </w:rPr>
        <w:t xml:space="preserve"> </w:t>
      </w:r>
      <w:r>
        <w:t>if</w:t>
      </w:r>
      <w:r w:rsidRPr="00221FA4">
        <w:rPr>
          <w:spacing w:val="-16"/>
        </w:rPr>
        <w:t xml:space="preserve"> </w:t>
      </w:r>
      <w:r>
        <w:t>possible,</w:t>
      </w:r>
      <w:r w:rsidRPr="00221FA4">
        <w:rPr>
          <w:spacing w:val="-14"/>
        </w:rPr>
        <w:t xml:space="preserve"> </w:t>
      </w:r>
      <w:r>
        <w:t>samples of</w:t>
      </w:r>
      <w:r w:rsidRPr="00221FA4">
        <w:rPr>
          <w:spacing w:val="13"/>
        </w:rPr>
        <w:t xml:space="preserve"> </w:t>
      </w:r>
      <w:r>
        <w:t>same;</w:t>
      </w:r>
    </w:p>
    <w:p w14:paraId="3BBAAE56" w14:textId="77777777" w:rsidR="00641F69" w:rsidRDefault="00641F69" w:rsidP="001A64F1">
      <w:pPr>
        <w:pStyle w:val="REG-Pi"/>
        <w:rPr>
          <w:sz w:val="25"/>
        </w:rPr>
      </w:pPr>
    </w:p>
    <w:p w14:paraId="03BEF3D6" w14:textId="77777777" w:rsidR="00641F69" w:rsidRDefault="00206481" w:rsidP="001A64F1">
      <w:pPr>
        <w:pStyle w:val="REG-Pi"/>
      </w:pPr>
      <w:r>
        <w:rPr>
          <w:w w:val="105"/>
        </w:rPr>
        <w:t>(vi)</w:t>
      </w:r>
      <w:r>
        <w:rPr>
          <w:w w:val="105"/>
        </w:rPr>
        <w:tab/>
        <w:t>a feasibility</w:t>
      </w:r>
      <w:r>
        <w:rPr>
          <w:spacing w:val="16"/>
          <w:w w:val="105"/>
        </w:rPr>
        <w:t xml:space="preserve"> </w:t>
      </w:r>
      <w:r>
        <w:rPr>
          <w:w w:val="105"/>
        </w:rPr>
        <w:t>report;</w:t>
      </w:r>
    </w:p>
    <w:p w14:paraId="4F9CFD02" w14:textId="77777777" w:rsidR="00641F69" w:rsidRDefault="00641F69" w:rsidP="001A64F1">
      <w:pPr>
        <w:pStyle w:val="REG-Pi"/>
        <w:rPr>
          <w:sz w:val="26"/>
        </w:rPr>
      </w:pPr>
    </w:p>
    <w:p w14:paraId="54A30C45" w14:textId="77777777" w:rsidR="00641F69" w:rsidRPr="001A64F1" w:rsidRDefault="00206481" w:rsidP="001A64F1">
      <w:pPr>
        <w:pStyle w:val="REG-Pi"/>
      </w:pPr>
      <w:r>
        <w:t>(vii)</w:t>
      </w:r>
      <w:r>
        <w:tab/>
      </w:r>
      <w:r w:rsidRPr="001A64F1">
        <w:t>a preliminary estimated cost report;</w:t>
      </w:r>
    </w:p>
    <w:p w14:paraId="0E1A850B" w14:textId="77777777" w:rsidR="00641F69" w:rsidRDefault="00641F69" w:rsidP="001A64F1">
      <w:pPr>
        <w:pStyle w:val="REG-Pi"/>
        <w:rPr>
          <w:sz w:val="26"/>
        </w:rPr>
      </w:pPr>
    </w:p>
    <w:p w14:paraId="2A6E9F89" w14:textId="77777777" w:rsidR="00641F69" w:rsidRDefault="00206481" w:rsidP="001A64F1">
      <w:pPr>
        <w:pStyle w:val="REG-Pi"/>
      </w:pPr>
      <w:r>
        <w:t>(viii)</w:t>
      </w:r>
      <w:r>
        <w:tab/>
        <w:t>a schedule of budget requirements in terms of time and cost;</w:t>
      </w:r>
      <w:r>
        <w:rPr>
          <w:spacing w:val="7"/>
        </w:rPr>
        <w:t xml:space="preserve"> </w:t>
      </w:r>
      <w:r>
        <w:t>and</w:t>
      </w:r>
    </w:p>
    <w:p w14:paraId="70EB0882" w14:textId="77777777" w:rsidR="00641F69" w:rsidRDefault="00641F69" w:rsidP="001A64F1">
      <w:pPr>
        <w:pStyle w:val="REG-Pi"/>
        <w:rPr>
          <w:sz w:val="26"/>
        </w:rPr>
      </w:pPr>
    </w:p>
    <w:p w14:paraId="03B256D8" w14:textId="77777777" w:rsidR="00641F69" w:rsidRDefault="00206481" w:rsidP="001A64F1">
      <w:pPr>
        <w:pStyle w:val="REG-Pi"/>
      </w:pPr>
      <w:r>
        <w:t>(ix)</w:t>
      </w:r>
      <w:r>
        <w:tab/>
        <w:t>a schedule of statutory</w:t>
      </w:r>
      <w:r>
        <w:rPr>
          <w:spacing w:val="36"/>
        </w:rPr>
        <w:t xml:space="preserve"> </w:t>
      </w:r>
      <w:r>
        <w:t>requirements.</w:t>
      </w:r>
    </w:p>
    <w:p w14:paraId="6BBA5A6F" w14:textId="77777777" w:rsidR="00641F69" w:rsidRDefault="00641F69" w:rsidP="00641F69">
      <w:pPr>
        <w:pStyle w:val="REG-P0"/>
        <w:rPr>
          <w:sz w:val="26"/>
        </w:rPr>
      </w:pPr>
    </w:p>
    <w:p w14:paraId="672C367A" w14:textId="77777777" w:rsidR="00641F69" w:rsidRPr="0028032F" w:rsidRDefault="00206481" w:rsidP="0028032F">
      <w:pPr>
        <w:pStyle w:val="REG-P1"/>
      </w:pPr>
      <w:r w:rsidRPr="0028032F">
        <w:t>(3)</w:t>
      </w:r>
      <w:r w:rsidRPr="0028032F">
        <w:tab/>
        <w:t>Stage 3 deals with the Design Development of the project and during this stage the architect shall -</w:t>
      </w:r>
    </w:p>
    <w:p w14:paraId="2632E4BA" w14:textId="77777777" w:rsidR="00641F69" w:rsidRDefault="00641F69" w:rsidP="00641F69">
      <w:pPr>
        <w:pStyle w:val="REG-P0"/>
        <w:rPr>
          <w:sz w:val="25"/>
        </w:rPr>
      </w:pPr>
    </w:p>
    <w:p w14:paraId="097D7776" w14:textId="77777777" w:rsidR="00641F69" w:rsidRPr="0028032F" w:rsidRDefault="00206481" w:rsidP="0028032F">
      <w:pPr>
        <w:pStyle w:val="REG-Pa"/>
      </w:pPr>
      <w:r w:rsidRPr="0028032F">
        <w:t>(a)</w:t>
      </w:r>
      <w:r w:rsidRPr="0028032F">
        <w:tab/>
        <w:t>after approval of the design, develop it sufficiently to co-ordinate the work and services of consultants and specialists appointed, if any;</w:t>
      </w:r>
    </w:p>
    <w:p w14:paraId="2D5C8CB6" w14:textId="77777777" w:rsidR="00641F69" w:rsidRPr="0028032F" w:rsidRDefault="00641F69" w:rsidP="0028032F">
      <w:pPr>
        <w:pStyle w:val="REG-Pa"/>
      </w:pPr>
    </w:p>
    <w:p w14:paraId="528EE75A" w14:textId="77777777" w:rsidR="00641F69" w:rsidRPr="0028032F" w:rsidRDefault="00206481" w:rsidP="0028032F">
      <w:pPr>
        <w:pStyle w:val="REG-Pa"/>
      </w:pPr>
      <w:r w:rsidRPr="0028032F">
        <w:t>(b)</w:t>
      </w:r>
      <w:r w:rsidRPr="0028032F">
        <w:tab/>
        <w:t>provide other consultants and specialists if any, with preliminary working drawings and details;</w:t>
      </w:r>
    </w:p>
    <w:p w14:paraId="4F4E3B3D" w14:textId="77777777" w:rsidR="00641F69" w:rsidRPr="0028032F" w:rsidRDefault="00641F69" w:rsidP="0028032F">
      <w:pPr>
        <w:pStyle w:val="REG-Pa"/>
      </w:pPr>
    </w:p>
    <w:p w14:paraId="0743814F" w14:textId="77777777" w:rsidR="00641F69" w:rsidRPr="0028032F" w:rsidRDefault="00206481" w:rsidP="0028032F">
      <w:pPr>
        <w:pStyle w:val="REG-Pa"/>
      </w:pPr>
      <w:r w:rsidRPr="0028032F">
        <w:t>(c)</w:t>
      </w:r>
      <w:r w:rsidRPr="0028032F">
        <w:tab/>
        <w:t>ensure that there are consecutively numbered drawings and provisional schedules of construction details;</w:t>
      </w:r>
    </w:p>
    <w:p w14:paraId="43C467A0" w14:textId="77777777" w:rsidR="00641F69" w:rsidRPr="0028032F" w:rsidRDefault="00641F69" w:rsidP="0028032F">
      <w:pPr>
        <w:pStyle w:val="REG-Pa"/>
      </w:pPr>
    </w:p>
    <w:p w14:paraId="60C83A3E" w14:textId="77777777" w:rsidR="00641F69" w:rsidRPr="0028032F" w:rsidRDefault="00206481" w:rsidP="0028032F">
      <w:pPr>
        <w:pStyle w:val="REG-Pa"/>
      </w:pPr>
      <w:r w:rsidRPr="0028032F">
        <w:t>(d)</w:t>
      </w:r>
      <w:r w:rsidRPr="0028032F">
        <w:tab/>
        <w:t>develop provisional schedules for doors, windows, furniture and fittings, sanitary fittings and finishes;</w:t>
      </w:r>
    </w:p>
    <w:p w14:paraId="7C6F438C" w14:textId="77777777" w:rsidR="00641F69" w:rsidRPr="0028032F" w:rsidRDefault="00641F69" w:rsidP="0028032F">
      <w:pPr>
        <w:pStyle w:val="REG-Pa"/>
      </w:pPr>
    </w:p>
    <w:p w14:paraId="537F48B2" w14:textId="77777777" w:rsidR="00641F69" w:rsidRPr="0028032F" w:rsidRDefault="00206481" w:rsidP="0028032F">
      <w:pPr>
        <w:pStyle w:val="REG-Pa"/>
      </w:pPr>
      <w:r w:rsidRPr="0028032F">
        <w:t>(e)</w:t>
      </w:r>
      <w:r w:rsidRPr="0028032F">
        <w:tab/>
        <w:t>discuss the design with the statutory authorities concerned;</w:t>
      </w:r>
    </w:p>
    <w:p w14:paraId="5514B1CD" w14:textId="77777777" w:rsidR="00641F69" w:rsidRPr="0028032F" w:rsidRDefault="00641F69" w:rsidP="0028032F">
      <w:pPr>
        <w:pStyle w:val="REG-Pa"/>
      </w:pPr>
    </w:p>
    <w:p w14:paraId="15F5D6D9" w14:textId="77777777" w:rsidR="00641F69" w:rsidRPr="0028032F" w:rsidRDefault="00206481" w:rsidP="0028032F">
      <w:pPr>
        <w:pStyle w:val="REG-Pa"/>
      </w:pPr>
      <w:r w:rsidRPr="0028032F">
        <w:t>(f)</w:t>
      </w:r>
      <w:r w:rsidRPr="0028032F">
        <w:tab/>
        <w:t>review the budget and time schedule; and</w:t>
      </w:r>
    </w:p>
    <w:p w14:paraId="1340005A" w14:textId="77777777" w:rsidR="00641F69" w:rsidRPr="0028032F" w:rsidRDefault="00641F69" w:rsidP="0028032F">
      <w:pPr>
        <w:pStyle w:val="REG-Pa"/>
      </w:pPr>
    </w:p>
    <w:p w14:paraId="195A350B" w14:textId="77777777" w:rsidR="00641F69" w:rsidRPr="0028032F" w:rsidRDefault="00206481" w:rsidP="0028032F">
      <w:pPr>
        <w:pStyle w:val="REG-Pa"/>
      </w:pPr>
      <w:r w:rsidRPr="0028032F">
        <w:t>(g)</w:t>
      </w:r>
      <w:r w:rsidRPr="0028032F">
        <w:tab/>
        <w:t>inform the client in writing of the effect of the reviewed budget and time schedule.</w:t>
      </w:r>
    </w:p>
    <w:p w14:paraId="34B1B140" w14:textId="77777777" w:rsidR="00641F69" w:rsidRDefault="00641F69" w:rsidP="00641F69">
      <w:pPr>
        <w:pStyle w:val="REG-P0"/>
        <w:rPr>
          <w:sz w:val="23"/>
        </w:rPr>
      </w:pPr>
    </w:p>
    <w:p w14:paraId="1FE9BE51" w14:textId="77777777" w:rsidR="00641F69" w:rsidRDefault="00206481" w:rsidP="001A64F1">
      <w:pPr>
        <w:pStyle w:val="REG-P1"/>
      </w:pPr>
      <w:r>
        <w:rPr>
          <w:w w:val="105"/>
        </w:rPr>
        <w:t>(4)</w:t>
      </w:r>
      <w:r>
        <w:rPr>
          <w:w w:val="105"/>
        </w:rPr>
        <w:tab/>
        <w:t>Stage 4 deals with approvals and technical documentation and</w:t>
      </w:r>
      <w:r>
        <w:rPr>
          <w:spacing w:val="-35"/>
          <w:w w:val="105"/>
        </w:rPr>
        <w:t xml:space="preserve"> </w:t>
      </w:r>
      <w:r>
        <w:rPr>
          <w:w w:val="105"/>
        </w:rPr>
        <w:t>during</w:t>
      </w:r>
      <w:r>
        <w:t xml:space="preserve"> </w:t>
      </w:r>
      <w:r>
        <w:rPr>
          <w:w w:val="105"/>
        </w:rPr>
        <w:t>this stage the architect shall -</w:t>
      </w:r>
    </w:p>
    <w:p w14:paraId="6536E9A3" w14:textId="77777777" w:rsidR="00641F69" w:rsidRDefault="00641F69" w:rsidP="00641F69">
      <w:pPr>
        <w:pStyle w:val="REG-P0"/>
        <w:rPr>
          <w:sz w:val="25"/>
        </w:rPr>
      </w:pPr>
    </w:p>
    <w:p w14:paraId="06AE059C" w14:textId="77777777" w:rsidR="00641F69" w:rsidRPr="001A64F1" w:rsidRDefault="00206481" w:rsidP="001A64F1">
      <w:pPr>
        <w:pStyle w:val="REG-Pa"/>
      </w:pPr>
      <w:r>
        <w:t>(a)</w:t>
      </w:r>
      <w:r>
        <w:tab/>
      </w:r>
      <w:r w:rsidRPr="001A64F1">
        <w:t>prepare drawings and documentation for submission to local or statutory authorities for approval;</w:t>
      </w:r>
    </w:p>
    <w:p w14:paraId="5D19DAA8" w14:textId="77777777" w:rsidR="00641F69" w:rsidRPr="001A64F1" w:rsidRDefault="00641F69" w:rsidP="001A64F1">
      <w:pPr>
        <w:pStyle w:val="REG-Pa"/>
      </w:pPr>
    </w:p>
    <w:p w14:paraId="43E64695" w14:textId="77777777" w:rsidR="00641F69" w:rsidRPr="001A64F1" w:rsidRDefault="00206481" w:rsidP="001A64F1">
      <w:pPr>
        <w:pStyle w:val="REG-Pa"/>
      </w:pPr>
      <w:r>
        <w:t>(b)</w:t>
      </w:r>
      <w:r>
        <w:tab/>
      </w:r>
      <w:r w:rsidRPr="001A64F1">
        <w:t>prepare working drawings, specifications and other technical documents necessary for the execution of the project;</w:t>
      </w:r>
    </w:p>
    <w:p w14:paraId="742E9D04" w14:textId="77777777" w:rsidR="00641F69" w:rsidRPr="001A64F1" w:rsidRDefault="00641F69" w:rsidP="001A64F1">
      <w:pPr>
        <w:pStyle w:val="REG-Pa"/>
      </w:pPr>
    </w:p>
    <w:p w14:paraId="3B4A88F5" w14:textId="77777777" w:rsidR="00641F69" w:rsidRPr="001A64F1" w:rsidRDefault="00206481" w:rsidP="001A64F1">
      <w:pPr>
        <w:pStyle w:val="REG-Pa"/>
      </w:pPr>
      <w:r>
        <w:t>(c)</w:t>
      </w:r>
      <w:r>
        <w:tab/>
      </w:r>
      <w:r w:rsidRPr="001A64F1">
        <w:t>ensure that the minimum requirements for working drawings are met; and</w:t>
      </w:r>
    </w:p>
    <w:p w14:paraId="3574E510" w14:textId="77777777" w:rsidR="00641F69" w:rsidRPr="001A64F1" w:rsidRDefault="00641F69" w:rsidP="001A64F1">
      <w:pPr>
        <w:pStyle w:val="REG-Pa"/>
      </w:pPr>
    </w:p>
    <w:p w14:paraId="60846A48" w14:textId="77777777" w:rsidR="00641F69" w:rsidRPr="001A64F1" w:rsidRDefault="00206481" w:rsidP="001A64F1">
      <w:pPr>
        <w:pStyle w:val="REG-Pa"/>
      </w:pPr>
      <w:r>
        <w:t>(d)</w:t>
      </w:r>
      <w:r>
        <w:tab/>
      </w:r>
      <w:r w:rsidRPr="001A64F1">
        <w:t>correlate the work of any consultants in the preparation of their documentation.</w:t>
      </w:r>
    </w:p>
    <w:p w14:paraId="52EE3355" w14:textId="77777777" w:rsidR="00641F69" w:rsidRDefault="00641F69" w:rsidP="00641F69">
      <w:pPr>
        <w:pStyle w:val="REG-P0"/>
        <w:rPr>
          <w:sz w:val="24"/>
        </w:rPr>
      </w:pPr>
    </w:p>
    <w:p w14:paraId="1734224B" w14:textId="77777777" w:rsidR="00641F69" w:rsidRPr="0028032F" w:rsidRDefault="00206481" w:rsidP="0028032F">
      <w:pPr>
        <w:pStyle w:val="REG-P1"/>
      </w:pPr>
      <w:r w:rsidRPr="0028032F">
        <w:t>(5)</w:t>
      </w:r>
      <w:r w:rsidR="001A64F1" w:rsidRPr="0028032F">
        <w:tab/>
      </w:r>
      <w:r w:rsidRPr="0028032F">
        <w:t>Stage 5 deals with contract administration and inspection and during this stage the architect shall -</w:t>
      </w:r>
    </w:p>
    <w:p w14:paraId="461445A0" w14:textId="77777777" w:rsidR="00641F69" w:rsidRDefault="00641F69" w:rsidP="00641F69">
      <w:pPr>
        <w:pStyle w:val="REG-P0"/>
        <w:rPr>
          <w:sz w:val="23"/>
        </w:rPr>
      </w:pPr>
    </w:p>
    <w:p w14:paraId="12BFF5AD" w14:textId="77777777" w:rsidR="00641F69" w:rsidRPr="0028032F" w:rsidRDefault="00206481" w:rsidP="0028032F">
      <w:pPr>
        <w:pStyle w:val="REG-Pa"/>
      </w:pPr>
      <w:r w:rsidRPr="0028032F">
        <w:t>(a)</w:t>
      </w:r>
      <w:r w:rsidRPr="0028032F">
        <w:tab/>
        <w:t>call for tenders and/or negotiate the building contract where required;</w:t>
      </w:r>
    </w:p>
    <w:p w14:paraId="6940AC8F" w14:textId="77777777" w:rsidR="00641F69" w:rsidRPr="0028032F" w:rsidRDefault="00641F69" w:rsidP="0028032F">
      <w:pPr>
        <w:pStyle w:val="REG-Pa"/>
      </w:pPr>
    </w:p>
    <w:p w14:paraId="7128EB6C" w14:textId="77777777" w:rsidR="00641F69" w:rsidRPr="0028032F" w:rsidRDefault="00206481" w:rsidP="0028032F">
      <w:pPr>
        <w:pStyle w:val="REG-Pa"/>
      </w:pPr>
      <w:r w:rsidRPr="0028032F">
        <w:t>(b)</w:t>
      </w:r>
      <w:r w:rsidRPr="0028032F">
        <w:tab/>
        <w:t>advise the client regarding the award of the building contract and the compiling and completion of contract documents;</w:t>
      </w:r>
    </w:p>
    <w:p w14:paraId="49DC89A4" w14:textId="77777777" w:rsidR="00641F69" w:rsidRPr="0028032F" w:rsidRDefault="00641F69" w:rsidP="0028032F">
      <w:pPr>
        <w:pStyle w:val="REG-Pa"/>
      </w:pPr>
    </w:p>
    <w:p w14:paraId="2C9938B6" w14:textId="77777777" w:rsidR="00641F69" w:rsidRPr="0028032F" w:rsidRDefault="00206481" w:rsidP="0028032F">
      <w:pPr>
        <w:pStyle w:val="REG-Pa"/>
      </w:pPr>
      <w:r w:rsidRPr="0028032F">
        <w:t>(c)</w:t>
      </w:r>
      <w:r w:rsidRPr="0028032F">
        <w:tab/>
        <w:t xml:space="preserve">assist the client in completing these documents and ensure that the client is informed of the essence of the signed </w:t>
      </w:r>
      <w:r w:rsidR="00203548">
        <w:t>contract in terms of the client’</w:t>
      </w:r>
      <w:r w:rsidRPr="0028032F">
        <w:t>s obligations and rights;</w:t>
      </w:r>
    </w:p>
    <w:p w14:paraId="0D2179AF" w14:textId="77777777" w:rsidR="00641F69" w:rsidRPr="0028032F" w:rsidRDefault="00641F69" w:rsidP="0028032F">
      <w:pPr>
        <w:pStyle w:val="REG-Pa"/>
      </w:pPr>
    </w:p>
    <w:p w14:paraId="5845E0B3" w14:textId="77777777" w:rsidR="00641F69" w:rsidRPr="0028032F" w:rsidRDefault="00206481" w:rsidP="0028032F">
      <w:pPr>
        <w:pStyle w:val="REG-Pa"/>
      </w:pPr>
      <w:r w:rsidRPr="0028032F">
        <w:t>(d)</w:t>
      </w:r>
      <w:r w:rsidRPr="0028032F">
        <w:tab/>
        <w:t>administer the building contract and inspect the works;</w:t>
      </w:r>
    </w:p>
    <w:p w14:paraId="0BCA20BA" w14:textId="77777777" w:rsidR="00641F69" w:rsidRPr="0028032F" w:rsidRDefault="00641F69" w:rsidP="0028032F">
      <w:pPr>
        <w:pStyle w:val="REG-Pa"/>
      </w:pPr>
    </w:p>
    <w:p w14:paraId="6456300C" w14:textId="77777777" w:rsidR="00641F69" w:rsidRPr="0028032F" w:rsidRDefault="00206481" w:rsidP="0028032F">
      <w:pPr>
        <w:pStyle w:val="REG-Pa"/>
      </w:pPr>
      <w:r w:rsidRPr="0028032F">
        <w:t>(e)</w:t>
      </w:r>
      <w:r w:rsidRPr="0028032F">
        <w:tab/>
        <w:t xml:space="preserve">scrutinise the </w:t>
      </w:r>
      <w:r w:rsidR="0028032F">
        <w:t>contractor’</w:t>
      </w:r>
      <w:r w:rsidRPr="0028032F">
        <w:t xml:space="preserve">s and </w:t>
      </w:r>
      <w:r w:rsidR="0028032F">
        <w:t>sub-contractor’</w:t>
      </w:r>
      <w:r w:rsidRPr="0028032F">
        <w:t>s shop drawings and sub­</w:t>
      </w:r>
      <w:r w:rsidR="0028032F">
        <w:t>contractors’</w:t>
      </w:r>
      <w:r w:rsidRPr="0028032F">
        <w:t xml:space="preserve"> contracts; and</w:t>
      </w:r>
    </w:p>
    <w:p w14:paraId="597E2A34" w14:textId="77777777" w:rsidR="00641F69" w:rsidRDefault="00641F69" w:rsidP="001A64F1">
      <w:pPr>
        <w:pStyle w:val="REG-Pa"/>
        <w:rPr>
          <w:sz w:val="23"/>
        </w:rPr>
      </w:pPr>
    </w:p>
    <w:p w14:paraId="5825F1AB" w14:textId="77777777" w:rsidR="00641F69" w:rsidRDefault="00206481" w:rsidP="001A64F1">
      <w:pPr>
        <w:pStyle w:val="REG-Pa"/>
      </w:pPr>
      <w:r>
        <w:rPr>
          <w:w w:val="105"/>
        </w:rPr>
        <w:t>(f)</w:t>
      </w:r>
      <w:r>
        <w:rPr>
          <w:w w:val="105"/>
        </w:rPr>
        <w:tab/>
        <w:t>provide the client with “as built” drawings and the relevant technical data from suppliers when the building is</w:t>
      </w:r>
      <w:r>
        <w:rPr>
          <w:spacing w:val="9"/>
          <w:w w:val="105"/>
        </w:rPr>
        <w:t xml:space="preserve"> </w:t>
      </w:r>
      <w:r>
        <w:rPr>
          <w:w w:val="105"/>
        </w:rPr>
        <w:t>completed</w:t>
      </w:r>
    </w:p>
    <w:p w14:paraId="42B512B9" w14:textId="77777777" w:rsidR="00641F69" w:rsidRDefault="00641F69" w:rsidP="00592E14">
      <w:pPr>
        <w:pStyle w:val="REG-P0"/>
      </w:pPr>
    </w:p>
    <w:p w14:paraId="379C28BC" w14:textId="77777777" w:rsidR="001A64F1" w:rsidRDefault="0028032F" w:rsidP="001A64F1">
      <w:pPr>
        <w:pStyle w:val="REG-Amend"/>
      </w:pPr>
      <w:r>
        <w:t>[P</w:t>
      </w:r>
      <w:r w:rsidR="00206481">
        <w:t xml:space="preserve">aragraph (f) is missing a full stop at the end in the </w:t>
      </w:r>
      <w:r w:rsidR="00206481">
        <w:rPr>
          <w:i/>
        </w:rPr>
        <w:t>Government Gazette</w:t>
      </w:r>
      <w:r w:rsidR="00206481">
        <w:t>, as reproduced above</w:t>
      </w:r>
      <w:r>
        <w:t>.</w:t>
      </w:r>
      <w:r w:rsidR="00206481">
        <w:t>]</w:t>
      </w:r>
    </w:p>
    <w:p w14:paraId="7CD392DA" w14:textId="77777777" w:rsidR="001A64F1" w:rsidRDefault="001A64F1" w:rsidP="001A64F1">
      <w:pPr>
        <w:pStyle w:val="REG-P0"/>
      </w:pPr>
    </w:p>
    <w:p w14:paraId="5BB5BE3D" w14:textId="77777777" w:rsidR="001A64F1" w:rsidRPr="001A64F1" w:rsidRDefault="00206481" w:rsidP="001A64F1">
      <w:pPr>
        <w:pStyle w:val="REG-P0"/>
        <w:rPr>
          <w:b/>
        </w:rPr>
      </w:pPr>
      <w:r w:rsidRPr="001A64F1">
        <w:rPr>
          <w:b/>
          <w:w w:val="105"/>
        </w:rPr>
        <w:t>Supplementary Services</w:t>
      </w:r>
    </w:p>
    <w:p w14:paraId="66500C8A" w14:textId="77777777" w:rsidR="001A64F1" w:rsidRPr="001A64F1" w:rsidRDefault="001A64F1" w:rsidP="001A64F1">
      <w:pPr>
        <w:pStyle w:val="REG-P0"/>
      </w:pPr>
    </w:p>
    <w:p w14:paraId="27FDF6EE" w14:textId="77777777" w:rsidR="001A64F1" w:rsidRDefault="00206481" w:rsidP="001A64F1">
      <w:pPr>
        <w:pStyle w:val="REG-P1"/>
      </w:pPr>
      <w:r>
        <w:rPr>
          <w:b/>
        </w:rPr>
        <w:t>4.</w:t>
      </w:r>
      <w:r>
        <w:rPr>
          <w:b/>
        </w:rPr>
        <w:tab/>
      </w:r>
      <w:r>
        <w:t>The following services are not normally included in the standard services described in paragraph 3 and require special additional work. Where these services are required by the client, they will be subject to additional fees to be mutually agreed upon.</w:t>
      </w:r>
    </w:p>
    <w:p w14:paraId="54F6D869" w14:textId="77777777" w:rsidR="001A64F1" w:rsidRDefault="001A64F1" w:rsidP="001A64F1">
      <w:pPr>
        <w:pStyle w:val="REG-P0"/>
        <w:rPr>
          <w:sz w:val="23"/>
        </w:rPr>
      </w:pPr>
    </w:p>
    <w:p w14:paraId="1CD906B8" w14:textId="77777777" w:rsidR="003E0DAB" w:rsidRDefault="003E0DAB" w:rsidP="003E0DAB">
      <w:pPr>
        <w:pStyle w:val="REG-Amend"/>
      </w:pPr>
      <w:r>
        <w:t xml:space="preserve">[This introductory provision has no </w:t>
      </w:r>
      <w:r w:rsidR="009625C4">
        <w:t xml:space="preserve">subitem </w:t>
      </w:r>
      <w:r>
        <w:t xml:space="preserve">number in the </w:t>
      </w:r>
      <w:r w:rsidRPr="00CC7443">
        <w:rPr>
          <w:i/>
        </w:rPr>
        <w:t>Government Gazette</w:t>
      </w:r>
      <w:r>
        <w:t>.]</w:t>
      </w:r>
    </w:p>
    <w:p w14:paraId="4CE37AC3" w14:textId="77777777" w:rsidR="003E0DAB" w:rsidRDefault="003E0DAB" w:rsidP="001A64F1">
      <w:pPr>
        <w:pStyle w:val="REG-P0"/>
        <w:rPr>
          <w:sz w:val="23"/>
        </w:rPr>
      </w:pPr>
    </w:p>
    <w:p w14:paraId="4DE97457" w14:textId="77777777" w:rsidR="001A64F1" w:rsidRDefault="00206481" w:rsidP="003E0DAB">
      <w:pPr>
        <w:pStyle w:val="REG-P1"/>
      </w:pPr>
      <w:r>
        <w:t>(1)</w:t>
      </w:r>
      <w:r>
        <w:tab/>
        <w:t xml:space="preserve">The </w:t>
      </w:r>
      <w:r w:rsidRPr="003E0DAB">
        <w:t>following</w:t>
      </w:r>
      <w:r>
        <w:t xml:space="preserve"> special studies are normally classified as supplementary services:</w:t>
      </w:r>
    </w:p>
    <w:p w14:paraId="1020FDDB" w14:textId="77777777" w:rsidR="001A64F1" w:rsidRDefault="001A64F1" w:rsidP="001A64F1">
      <w:pPr>
        <w:pStyle w:val="REG-P0"/>
        <w:rPr>
          <w:sz w:val="23"/>
        </w:rPr>
      </w:pPr>
    </w:p>
    <w:p w14:paraId="5CB782A3" w14:textId="77777777" w:rsidR="001A64F1" w:rsidRPr="003E0DAB" w:rsidRDefault="00206481" w:rsidP="003E0DAB">
      <w:pPr>
        <w:pStyle w:val="REG-Pa"/>
      </w:pPr>
      <w:r w:rsidRPr="001A64F1">
        <w:t>(</w:t>
      </w:r>
      <w:r w:rsidRPr="003E0DAB">
        <w:t>a</w:t>
      </w:r>
      <w:r w:rsidR="003E0DAB" w:rsidRPr="003E0DAB">
        <w:t>)</w:t>
      </w:r>
      <w:r w:rsidR="003E0DAB" w:rsidRPr="003E0DAB">
        <w:tab/>
        <w:t>The preparation of the client’</w:t>
      </w:r>
      <w:r w:rsidRPr="003E0DAB">
        <w:t>s brief and/or the draughting thereof.</w:t>
      </w:r>
    </w:p>
    <w:p w14:paraId="071B9D61" w14:textId="77777777" w:rsidR="001A64F1" w:rsidRPr="003E0DAB" w:rsidRDefault="001A64F1" w:rsidP="003E0DAB">
      <w:pPr>
        <w:pStyle w:val="REG-Pa"/>
      </w:pPr>
    </w:p>
    <w:p w14:paraId="497156DF" w14:textId="77777777" w:rsidR="001A64F1" w:rsidRPr="003E0DAB" w:rsidRDefault="00206481" w:rsidP="003E0DAB">
      <w:pPr>
        <w:pStyle w:val="REG-Pa"/>
      </w:pPr>
      <w:r w:rsidRPr="003E0DAB">
        <w:t>(b)</w:t>
      </w:r>
      <w:r w:rsidRPr="003E0DAB">
        <w:tab/>
        <w:t>site selection, survey and location.</w:t>
      </w:r>
    </w:p>
    <w:p w14:paraId="1C1E918A" w14:textId="77777777" w:rsidR="001A64F1" w:rsidRPr="003E0DAB" w:rsidRDefault="001A64F1" w:rsidP="003E0DAB">
      <w:pPr>
        <w:pStyle w:val="REG-Pa"/>
      </w:pPr>
    </w:p>
    <w:p w14:paraId="5BC21D85" w14:textId="77777777" w:rsidR="001A64F1" w:rsidRPr="003E0DAB" w:rsidRDefault="00206481" w:rsidP="003E0DAB">
      <w:pPr>
        <w:pStyle w:val="REG-Pa"/>
      </w:pPr>
      <w:r w:rsidRPr="003E0DAB">
        <w:t>(c)</w:t>
      </w:r>
      <w:r w:rsidRPr="003E0DAB">
        <w:tab/>
        <w:t>technical and special environmental feasibility.</w:t>
      </w:r>
    </w:p>
    <w:p w14:paraId="40F34E9C" w14:textId="77777777" w:rsidR="001A64F1" w:rsidRPr="003E0DAB" w:rsidRDefault="001A64F1" w:rsidP="003E0DAB">
      <w:pPr>
        <w:pStyle w:val="REG-Pa"/>
      </w:pPr>
    </w:p>
    <w:p w14:paraId="511B8199" w14:textId="77777777" w:rsidR="001A64F1" w:rsidRPr="003E0DAB" w:rsidRDefault="00206481" w:rsidP="003E0DAB">
      <w:pPr>
        <w:pStyle w:val="REG-Pa"/>
      </w:pPr>
      <w:r w:rsidRPr="003E0DAB">
        <w:t>(d)</w:t>
      </w:r>
      <w:r w:rsidRPr="003E0DAB">
        <w:tab/>
        <w:t>energy conservation.</w:t>
      </w:r>
    </w:p>
    <w:p w14:paraId="2747BD00" w14:textId="77777777" w:rsidR="001A64F1" w:rsidRPr="003E0DAB" w:rsidRDefault="001A64F1" w:rsidP="003E0DAB">
      <w:pPr>
        <w:pStyle w:val="REG-Pa"/>
      </w:pPr>
    </w:p>
    <w:p w14:paraId="062A6A7E" w14:textId="77777777" w:rsidR="001A64F1" w:rsidRPr="003E0DAB" w:rsidRDefault="00206481" w:rsidP="003E0DAB">
      <w:pPr>
        <w:pStyle w:val="REG-Pa"/>
      </w:pPr>
      <w:r w:rsidRPr="003E0DAB">
        <w:t>(e)</w:t>
      </w:r>
      <w:r w:rsidRPr="003E0DAB">
        <w:tab/>
        <w:t>economic feasibility.</w:t>
      </w:r>
    </w:p>
    <w:p w14:paraId="24440DCF" w14:textId="77777777" w:rsidR="001A64F1" w:rsidRPr="003E0DAB" w:rsidRDefault="001A64F1" w:rsidP="003E0DAB">
      <w:pPr>
        <w:pStyle w:val="REG-Pa"/>
      </w:pPr>
    </w:p>
    <w:p w14:paraId="61D29437" w14:textId="77777777" w:rsidR="001A64F1" w:rsidRPr="003E0DAB" w:rsidRDefault="00206481" w:rsidP="003E0DAB">
      <w:pPr>
        <w:pStyle w:val="REG-Pa"/>
      </w:pPr>
      <w:r w:rsidRPr="003E0DAB">
        <w:t>(f)</w:t>
      </w:r>
      <w:r w:rsidRPr="003E0DAB">
        <w:tab/>
        <w:t>market surveys.</w:t>
      </w:r>
    </w:p>
    <w:p w14:paraId="668CEFE6" w14:textId="77777777" w:rsidR="001A64F1" w:rsidRPr="003E0DAB" w:rsidRDefault="001A64F1" w:rsidP="003E0DAB">
      <w:pPr>
        <w:pStyle w:val="REG-Pa"/>
      </w:pPr>
    </w:p>
    <w:p w14:paraId="47DC364D" w14:textId="77777777" w:rsidR="001A64F1" w:rsidRPr="003E0DAB" w:rsidRDefault="00206481" w:rsidP="003E0DAB">
      <w:pPr>
        <w:pStyle w:val="REG-Pa"/>
      </w:pPr>
      <w:r w:rsidRPr="003E0DAB">
        <w:t>(g)</w:t>
      </w:r>
      <w:r w:rsidRPr="003E0DAB">
        <w:tab/>
        <w:t>traffic studies.</w:t>
      </w:r>
    </w:p>
    <w:p w14:paraId="661C0974" w14:textId="77777777" w:rsidR="001A64F1" w:rsidRPr="003E0DAB" w:rsidRDefault="001A64F1" w:rsidP="003E0DAB">
      <w:pPr>
        <w:pStyle w:val="REG-Pa"/>
      </w:pPr>
    </w:p>
    <w:p w14:paraId="5CA38D0B" w14:textId="77777777" w:rsidR="001A64F1" w:rsidRPr="003E0DAB" w:rsidRDefault="00206481" w:rsidP="003E0DAB">
      <w:pPr>
        <w:pStyle w:val="REG-Pa"/>
      </w:pPr>
      <w:r w:rsidRPr="003E0DAB">
        <w:t>(h)</w:t>
      </w:r>
      <w:r w:rsidRPr="003E0DAB">
        <w:tab/>
        <w:t>operational, plant and production layout.</w:t>
      </w:r>
    </w:p>
    <w:p w14:paraId="0966BA0A" w14:textId="77777777" w:rsidR="001A64F1" w:rsidRPr="003E0DAB" w:rsidRDefault="001A64F1" w:rsidP="003E0DAB">
      <w:pPr>
        <w:pStyle w:val="REG-Pa"/>
      </w:pPr>
    </w:p>
    <w:p w14:paraId="44FBB958" w14:textId="77777777" w:rsidR="001A64F1" w:rsidRPr="003E0DAB" w:rsidRDefault="00206481" w:rsidP="003E0DAB">
      <w:pPr>
        <w:pStyle w:val="REG-Pa"/>
      </w:pPr>
      <w:r w:rsidRPr="003E0DAB">
        <w:t>(i)</w:t>
      </w:r>
      <w:r w:rsidRPr="003E0DAB">
        <w:tab/>
        <w:t>research studies.</w:t>
      </w:r>
    </w:p>
    <w:p w14:paraId="08024927" w14:textId="77777777" w:rsidR="001A64F1" w:rsidRDefault="001A64F1" w:rsidP="001A64F1">
      <w:pPr>
        <w:pStyle w:val="REG-Pa"/>
      </w:pPr>
    </w:p>
    <w:p w14:paraId="5ABD0B06" w14:textId="77777777" w:rsidR="001A64F1" w:rsidRPr="003E0DAB" w:rsidRDefault="00206481" w:rsidP="003E0DAB">
      <w:pPr>
        <w:pStyle w:val="REG-P1"/>
      </w:pPr>
      <w:r w:rsidRPr="003E0DAB">
        <w:t>(2)</w:t>
      </w:r>
      <w:r w:rsidRPr="003E0DAB">
        <w:tab/>
        <w:t>The following special designs are normally classified as supplementary services:</w:t>
      </w:r>
    </w:p>
    <w:p w14:paraId="215CC551" w14:textId="77777777" w:rsidR="001A64F1" w:rsidRDefault="001A64F1" w:rsidP="001A64F1">
      <w:pPr>
        <w:pStyle w:val="REG-P0"/>
        <w:rPr>
          <w:sz w:val="23"/>
        </w:rPr>
      </w:pPr>
    </w:p>
    <w:p w14:paraId="7F0A699F" w14:textId="77777777" w:rsidR="001A64F1" w:rsidRPr="003E0DAB" w:rsidRDefault="003E0DAB" w:rsidP="003E0DAB">
      <w:pPr>
        <w:pStyle w:val="REG-Pa"/>
      </w:pPr>
      <w:r w:rsidRPr="003E0DAB">
        <w:t>(a)</w:t>
      </w:r>
      <w:r w:rsidRPr="003E0DAB">
        <w:tab/>
      </w:r>
      <w:r w:rsidR="00206481" w:rsidRPr="003E0DAB">
        <w:t>Town planning design.</w:t>
      </w:r>
    </w:p>
    <w:p w14:paraId="4D82F79D" w14:textId="77777777" w:rsidR="001A64F1" w:rsidRPr="003E0DAB" w:rsidRDefault="001A64F1" w:rsidP="003E0DAB">
      <w:pPr>
        <w:pStyle w:val="REG-Pa"/>
      </w:pPr>
    </w:p>
    <w:p w14:paraId="34622FCE" w14:textId="77777777" w:rsidR="001A64F1" w:rsidRPr="003E0DAB" w:rsidRDefault="003E0DAB" w:rsidP="003E0DAB">
      <w:pPr>
        <w:pStyle w:val="REG-Pa"/>
      </w:pPr>
      <w:r w:rsidRPr="003E0DAB">
        <w:t>(b</w:t>
      </w:r>
      <w:r w:rsidR="00206481" w:rsidRPr="003E0DAB">
        <w:t>)</w:t>
      </w:r>
      <w:r w:rsidR="00206481" w:rsidRPr="003E0DAB">
        <w:tab/>
        <w:t>master site planning of future buildings related to a current project.</w:t>
      </w:r>
    </w:p>
    <w:p w14:paraId="35D0CFA6" w14:textId="77777777" w:rsidR="001A64F1" w:rsidRPr="003E0DAB" w:rsidRDefault="001A64F1" w:rsidP="003E0DAB">
      <w:pPr>
        <w:pStyle w:val="REG-Pa"/>
      </w:pPr>
    </w:p>
    <w:p w14:paraId="26BAD6AB" w14:textId="77777777" w:rsidR="001A64F1" w:rsidRPr="003E0DAB" w:rsidRDefault="003E0DAB" w:rsidP="003E0DAB">
      <w:pPr>
        <w:pStyle w:val="REG-Pa"/>
      </w:pPr>
      <w:r w:rsidRPr="003E0DAB">
        <w:t>(c</w:t>
      </w:r>
      <w:r w:rsidR="00206481" w:rsidRPr="003E0DAB">
        <w:t>)</w:t>
      </w:r>
      <w:r w:rsidR="00206481" w:rsidRPr="003E0DAB">
        <w:tab/>
        <w:t>landscape design.</w:t>
      </w:r>
    </w:p>
    <w:p w14:paraId="68CA1CE9" w14:textId="77777777" w:rsidR="001A64F1" w:rsidRPr="003E0DAB" w:rsidRDefault="001A64F1" w:rsidP="003E0DAB">
      <w:pPr>
        <w:pStyle w:val="REG-Pa"/>
      </w:pPr>
    </w:p>
    <w:p w14:paraId="2CC3F8BA" w14:textId="77777777" w:rsidR="001A64F1" w:rsidRPr="003E0DAB" w:rsidRDefault="003E0DAB" w:rsidP="003E0DAB">
      <w:pPr>
        <w:pStyle w:val="REG-Pa"/>
      </w:pPr>
      <w:r w:rsidRPr="003E0DAB">
        <w:t>(d</w:t>
      </w:r>
      <w:r w:rsidR="00206481" w:rsidRPr="003E0DAB">
        <w:t>)</w:t>
      </w:r>
      <w:r w:rsidR="00206481" w:rsidRPr="003E0DAB">
        <w:tab/>
        <w:t>promotional material.</w:t>
      </w:r>
    </w:p>
    <w:p w14:paraId="7529C87D" w14:textId="77777777" w:rsidR="001A64F1" w:rsidRPr="003E0DAB" w:rsidRDefault="001A64F1" w:rsidP="003E0DAB">
      <w:pPr>
        <w:pStyle w:val="REG-Pa"/>
      </w:pPr>
    </w:p>
    <w:p w14:paraId="5EFD6A34" w14:textId="77777777" w:rsidR="001A64F1" w:rsidRPr="003E0DAB" w:rsidRDefault="003E0DAB" w:rsidP="003E0DAB">
      <w:pPr>
        <w:pStyle w:val="REG-Pa"/>
      </w:pPr>
      <w:r w:rsidRPr="003E0DAB">
        <w:t>(e</w:t>
      </w:r>
      <w:r w:rsidR="00206481" w:rsidRPr="003E0DAB">
        <w:t>)</w:t>
      </w:r>
      <w:r w:rsidR="00206481" w:rsidRPr="003E0DAB">
        <w:tab/>
        <w:t>art work and graphics.</w:t>
      </w:r>
    </w:p>
    <w:p w14:paraId="3AE04467" w14:textId="77777777" w:rsidR="001A64F1" w:rsidRPr="003E0DAB" w:rsidRDefault="001A64F1" w:rsidP="003E0DAB">
      <w:pPr>
        <w:pStyle w:val="REG-Pa"/>
      </w:pPr>
    </w:p>
    <w:p w14:paraId="48ACF264" w14:textId="77777777" w:rsidR="001A64F1" w:rsidRPr="003E0DAB" w:rsidRDefault="003E0DAB" w:rsidP="003E0DAB">
      <w:pPr>
        <w:pStyle w:val="REG-Pa"/>
      </w:pPr>
      <w:r w:rsidRPr="003E0DAB">
        <w:t>(f</w:t>
      </w:r>
      <w:r w:rsidR="00206481" w:rsidRPr="003E0DAB">
        <w:t>)</w:t>
      </w:r>
      <w:r w:rsidR="00206481" w:rsidRPr="003E0DAB">
        <w:tab/>
        <w:t>purpose-made items.</w:t>
      </w:r>
    </w:p>
    <w:p w14:paraId="2DDBD167" w14:textId="77777777" w:rsidR="001A64F1" w:rsidRPr="003E0DAB" w:rsidRDefault="001A64F1" w:rsidP="003E0DAB">
      <w:pPr>
        <w:pStyle w:val="REG-Pa"/>
      </w:pPr>
    </w:p>
    <w:p w14:paraId="64FD258C" w14:textId="77777777" w:rsidR="001A64F1" w:rsidRPr="003E0DAB" w:rsidRDefault="003E0DAB" w:rsidP="003E0DAB">
      <w:pPr>
        <w:pStyle w:val="REG-Pa"/>
      </w:pPr>
      <w:r w:rsidRPr="003E0DAB">
        <w:t>(g</w:t>
      </w:r>
      <w:r w:rsidR="00206481" w:rsidRPr="003E0DAB">
        <w:t>)</w:t>
      </w:r>
      <w:r w:rsidR="00206481" w:rsidRPr="003E0DAB">
        <w:tab/>
        <w:t>in relation to interiors, the design and/or selection, documentation and procurement of furniture and furnishings and any special finishes or fixtures related thereto.</w:t>
      </w:r>
    </w:p>
    <w:p w14:paraId="5E96507D" w14:textId="77777777" w:rsidR="001A64F1" w:rsidRPr="003E0DAB" w:rsidRDefault="001A64F1" w:rsidP="003E0DAB">
      <w:pPr>
        <w:pStyle w:val="REG-Pa"/>
      </w:pPr>
    </w:p>
    <w:p w14:paraId="479AA313" w14:textId="77777777" w:rsidR="001A64F1" w:rsidRPr="003E0DAB" w:rsidRDefault="003E0DAB" w:rsidP="003E0DAB">
      <w:pPr>
        <w:pStyle w:val="REG-Pa"/>
      </w:pPr>
      <w:r w:rsidRPr="003E0DAB">
        <w:t>(h</w:t>
      </w:r>
      <w:r w:rsidR="00206481" w:rsidRPr="003E0DAB">
        <w:t>)</w:t>
      </w:r>
      <w:r w:rsidR="00206481" w:rsidRPr="003E0DAB">
        <w:tab/>
        <w:t>plant procurement, design, specifications and/or co-ordination of the installation of machinery or equipment related to the use of the building such as required for production, manufacturing, treatment or processing.</w:t>
      </w:r>
    </w:p>
    <w:p w14:paraId="126EFDAD" w14:textId="77777777" w:rsidR="001A64F1" w:rsidRPr="00C63DE5" w:rsidRDefault="001A64F1" w:rsidP="00C63DE5">
      <w:pPr>
        <w:pStyle w:val="REG-P1"/>
      </w:pPr>
    </w:p>
    <w:p w14:paraId="47068D4B" w14:textId="77777777" w:rsidR="001A64F1" w:rsidRPr="00C63DE5" w:rsidRDefault="00206481" w:rsidP="00C63DE5">
      <w:pPr>
        <w:pStyle w:val="REG-P1"/>
      </w:pPr>
      <w:r>
        <w:t>(3)</w:t>
      </w:r>
      <w:r>
        <w:tab/>
      </w:r>
      <w:r w:rsidRPr="00C63DE5">
        <w:t>In relation to existing premises, the following are normally classified as supplementary services:</w:t>
      </w:r>
    </w:p>
    <w:p w14:paraId="61675FF8" w14:textId="77777777" w:rsidR="001A64F1" w:rsidRDefault="001A64F1" w:rsidP="001A64F1">
      <w:pPr>
        <w:pStyle w:val="REG-P0"/>
        <w:rPr>
          <w:sz w:val="23"/>
        </w:rPr>
      </w:pPr>
    </w:p>
    <w:p w14:paraId="55D9923F" w14:textId="77777777" w:rsidR="001A64F1" w:rsidRPr="00C63DE5" w:rsidRDefault="00206481" w:rsidP="00C63DE5">
      <w:pPr>
        <w:pStyle w:val="REG-Pa"/>
      </w:pPr>
      <w:r>
        <w:t>(a)</w:t>
      </w:r>
      <w:r>
        <w:tab/>
      </w:r>
      <w:r w:rsidRPr="00C63DE5">
        <w:t>Surveys, inspections and reports.</w:t>
      </w:r>
    </w:p>
    <w:p w14:paraId="16CC5CF8" w14:textId="77777777" w:rsidR="001A64F1" w:rsidRPr="00C63DE5" w:rsidRDefault="001A64F1" w:rsidP="00C63DE5">
      <w:pPr>
        <w:pStyle w:val="REG-Pa"/>
      </w:pPr>
    </w:p>
    <w:p w14:paraId="39176704" w14:textId="77777777" w:rsidR="001A64F1" w:rsidRPr="00C63DE5" w:rsidRDefault="00206481" w:rsidP="00C63DE5">
      <w:pPr>
        <w:pStyle w:val="REG-Pa"/>
      </w:pPr>
      <w:r>
        <w:t>(b)</w:t>
      </w:r>
      <w:r>
        <w:tab/>
      </w:r>
      <w:r w:rsidRPr="00C63DE5">
        <w:t>renovations.</w:t>
      </w:r>
    </w:p>
    <w:p w14:paraId="51D7E4E3" w14:textId="77777777" w:rsidR="001A64F1" w:rsidRPr="00C63DE5" w:rsidRDefault="001A64F1" w:rsidP="00C63DE5">
      <w:pPr>
        <w:pStyle w:val="REG-Pa"/>
      </w:pPr>
    </w:p>
    <w:p w14:paraId="6274A989" w14:textId="77777777" w:rsidR="001A64F1" w:rsidRPr="00C63DE5" w:rsidRDefault="00206481" w:rsidP="00C63DE5">
      <w:pPr>
        <w:pStyle w:val="REG-Pa"/>
      </w:pPr>
      <w:r>
        <w:t>(c)</w:t>
      </w:r>
      <w:r>
        <w:tab/>
      </w:r>
      <w:r w:rsidRPr="00C63DE5">
        <w:t>demolitions.</w:t>
      </w:r>
    </w:p>
    <w:p w14:paraId="3098DB24" w14:textId="77777777" w:rsidR="001A64F1" w:rsidRPr="00C63DE5" w:rsidRDefault="001A64F1" w:rsidP="00C63DE5">
      <w:pPr>
        <w:pStyle w:val="REG-Pa"/>
      </w:pPr>
    </w:p>
    <w:p w14:paraId="731BBCE8" w14:textId="77777777" w:rsidR="001A64F1" w:rsidRPr="00C63DE5" w:rsidRDefault="00206481" w:rsidP="00C63DE5">
      <w:pPr>
        <w:pStyle w:val="REG-Pa"/>
      </w:pPr>
      <w:r>
        <w:t>(d)</w:t>
      </w:r>
      <w:r>
        <w:tab/>
      </w:r>
      <w:r w:rsidRPr="00C63DE5">
        <w:t>valuations.</w:t>
      </w:r>
    </w:p>
    <w:p w14:paraId="0A2AFF67" w14:textId="77777777" w:rsidR="001A64F1" w:rsidRPr="00C63DE5" w:rsidRDefault="001A64F1" w:rsidP="00C63DE5">
      <w:pPr>
        <w:pStyle w:val="REG-Pa"/>
      </w:pPr>
    </w:p>
    <w:p w14:paraId="2E94D448" w14:textId="77777777" w:rsidR="001A64F1" w:rsidRPr="00C63DE5" w:rsidRDefault="00206481" w:rsidP="00C63DE5">
      <w:pPr>
        <w:pStyle w:val="REG-Pa"/>
      </w:pPr>
      <w:r>
        <w:t>(e)</w:t>
      </w:r>
      <w:r>
        <w:tab/>
      </w:r>
      <w:r w:rsidRPr="00C63DE5">
        <w:t>restorations.</w:t>
      </w:r>
    </w:p>
    <w:p w14:paraId="1EA09B09" w14:textId="77777777" w:rsidR="001A64F1" w:rsidRDefault="001A64F1" w:rsidP="001A64F1">
      <w:pPr>
        <w:pStyle w:val="REG-P0"/>
        <w:rPr>
          <w:sz w:val="26"/>
        </w:rPr>
      </w:pPr>
    </w:p>
    <w:p w14:paraId="126869AF" w14:textId="77777777" w:rsidR="00C63DE5" w:rsidRDefault="00206481" w:rsidP="00C63DE5">
      <w:pPr>
        <w:pStyle w:val="REG-P1"/>
      </w:pPr>
      <w:r>
        <w:t>(4)</w:t>
      </w:r>
      <w:r>
        <w:tab/>
      </w:r>
      <w:r w:rsidR="001A64F1" w:rsidRPr="00C63DE5">
        <w:t>The following special administrative or legal services are normally classified as supplementary services:</w:t>
      </w:r>
    </w:p>
    <w:p w14:paraId="4AAB2801" w14:textId="77777777" w:rsidR="001A64F1" w:rsidRPr="00C63DE5" w:rsidRDefault="001A64F1" w:rsidP="00C63DE5">
      <w:pPr>
        <w:pStyle w:val="REG-P1"/>
      </w:pPr>
    </w:p>
    <w:p w14:paraId="232A8881" w14:textId="77777777" w:rsidR="00C63DE5" w:rsidRDefault="00206481" w:rsidP="00C63DE5">
      <w:pPr>
        <w:pStyle w:val="REG-Pa"/>
      </w:pPr>
      <w:r>
        <w:t>(a)</w:t>
      </w:r>
      <w:r>
        <w:tab/>
      </w:r>
      <w:r w:rsidR="001A64F1" w:rsidRPr="00C63DE5">
        <w:t>Rezoning or change of use or amendments of town planning schemes.</w:t>
      </w:r>
    </w:p>
    <w:p w14:paraId="31C3840C" w14:textId="77777777" w:rsidR="00C63DE5" w:rsidRDefault="00C63DE5" w:rsidP="00C63DE5">
      <w:pPr>
        <w:pStyle w:val="REG-Pa"/>
      </w:pPr>
    </w:p>
    <w:p w14:paraId="34AD8944" w14:textId="77777777" w:rsidR="001A64F1" w:rsidRPr="00C63DE5" w:rsidRDefault="00206481" w:rsidP="00C63DE5">
      <w:pPr>
        <w:pStyle w:val="REG-Pa"/>
      </w:pPr>
      <w:r>
        <w:t>(b)</w:t>
      </w:r>
      <w:r>
        <w:tab/>
      </w:r>
      <w:r w:rsidRPr="00C63DE5">
        <w:t>special negotiations.</w:t>
      </w:r>
    </w:p>
    <w:p w14:paraId="0077C56E" w14:textId="77777777" w:rsidR="001A64F1" w:rsidRPr="00C63DE5" w:rsidRDefault="001A64F1" w:rsidP="00C63DE5">
      <w:pPr>
        <w:pStyle w:val="REG-Pa"/>
      </w:pPr>
    </w:p>
    <w:p w14:paraId="0DDDCAA1" w14:textId="77777777" w:rsidR="001A64F1" w:rsidRPr="00C63DE5" w:rsidRDefault="00206481" w:rsidP="00C63DE5">
      <w:pPr>
        <w:pStyle w:val="REG-Pa"/>
      </w:pPr>
      <w:r>
        <w:t>(c)</w:t>
      </w:r>
      <w:r>
        <w:tab/>
      </w:r>
      <w:r w:rsidR="005B59D0">
        <w:t>cost checking of “</w:t>
      </w:r>
      <w:r w:rsidRPr="00C63DE5">
        <w:t>cost plus</w:t>
      </w:r>
      <w:r w:rsidR="005B59D0">
        <w:t>”</w:t>
      </w:r>
      <w:r w:rsidRPr="00C63DE5">
        <w:t xml:space="preserve"> or </w:t>
      </w:r>
      <w:r w:rsidR="005B59D0">
        <w:t>“</w:t>
      </w:r>
      <w:r w:rsidRPr="00C63DE5">
        <w:t>managed</w:t>
      </w:r>
      <w:r w:rsidR="005B59D0">
        <w:t>”</w:t>
      </w:r>
      <w:r w:rsidRPr="00C63DE5">
        <w:t xml:space="preserve"> contracts if no quantity surveyor has been appointed.</w:t>
      </w:r>
    </w:p>
    <w:p w14:paraId="10B348C7" w14:textId="77777777" w:rsidR="001A64F1" w:rsidRPr="00C63DE5" w:rsidRDefault="001A64F1" w:rsidP="00C63DE5">
      <w:pPr>
        <w:pStyle w:val="REG-Pa"/>
      </w:pPr>
    </w:p>
    <w:p w14:paraId="48FBA171" w14:textId="77777777" w:rsidR="001A64F1" w:rsidRPr="00C63DE5" w:rsidRDefault="00206481" w:rsidP="00C63DE5">
      <w:pPr>
        <w:pStyle w:val="REG-Pa"/>
      </w:pPr>
      <w:r>
        <w:t>(d)</w:t>
      </w:r>
      <w:r>
        <w:tab/>
      </w:r>
      <w:r w:rsidRPr="00C63DE5">
        <w:t>constant and detailed inspection of the works if required by the client.</w:t>
      </w:r>
    </w:p>
    <w:p w14:paraId="786D5582" w14:textId="77777777" w:rsidR="001A64F1" w:rsidRPr="00C63DE5" w:rsidRDefault="001A64F1" w:rsidP="00C63DE5">
      <w:pPr>
        <w:pStyle w:val="REG-Pa"/>
      </w:pPr>
    </w:p>
    <w:p w14:paraId="15766280" w14:textId="77777777" w:rsidR="001A64F1" w:rsidRPr="00C63DE5" w:rsidRDefault="00206481" w:rsidP="00C63DE5">
      <w:pPr>
        <w:pStyle w:val="REG-Pa"/>
      </w:pPr>
      <w:r>
        <w:t>(e)</w:t>
      </w:r>
      <w:r>
        <w:tab/>
      </w:r>
      <w:r w:rsidRPr="00C63DE5">
        <w:t>extra work caused at any stage that is not attributable to the architect.</w:t>
      </w:r>
    </w:p>
    <w:p w14:paraId="79AD8F27" w14:textId="77777777" w:rsidR="001A64F1" w:rsidRPr="00C63DE5" w:rsidRDefault="001A64F1" w:rsidP="00C63DE5">
      <w:pPr>
        <w:pStyle w:val="REG-Pa"/>
      </w:pPr>
    </w:p>
    <w:p w14:paraId="1259D663" w14:textId="77777777" w:rsidR="001A64F1" w:rsidRPr="00C63DE5" w:rsidRDefault="00206481" w:rsidP="00C63DE5">
      <w:pPr>
        <w:pStyle w:val="REG-Pa"/>
      </w:pPr>
      <w:r w:rsidRPr="00C63DE5">
        <w:t>(</w:t>
      </w:r>
      <w:r w:rsidR="00C63DE5">
        <w:t>f</w:t>
      </w:r>
      <w:r w:rsidRPr="00C63DE5">
        <w:t xml:space="preserve">) </w:t>
      </w:r>
      <w:r w:rsidR="005B59D0">
        <w:tab/>
        <w:t>changes or delays in the client’</w:t>
      </w:r>
      <w:r w:rsidRPr="00C63DE5">
        <w:t>s instructions or any other cause not attributable to the architect and not covered by any other additional fees.</w:t>
      </w:r>
    </w:p>
    <w:p w14:paraId="1B825A53" w14:textId="77777777" w:rsidR="001A64F1" w:rsidRPr="00C63DE5" w:rsidRDefault="001A64F1" w:rsidP="00C63DE5">
      <w:pPr>
        <w:pStyle w:val="REG-Pa"/>
      </w:pPr>
    </w:p>
    <w:p w14:paraId="72CFEB21" w14:textId="77777777" w:rsidR="001A64F1" w:rsidRDefault="00206481" w:rsidP="00C63DE5">
      <w:pPr>
        <w:pStyle w:val="REG-Pa"/>
      </w:pPr>
      <w:r>
        <w:t>(g)</w:t>
      </w:r>
      <w:r>
        <w:tab/>
      </w:r>
      <w:r w:rsidRPr="00C63DE5">
        <w:t>in relation to sectional titles, the preparation of documentation or other work additional to the requirements of the Sectional Titles Act, 1971 (Act No. 66 of 1971), for which fees are not prescribed in the said Act.</w:t>
      </w:r>
    </w:p>
    <w:p w14:paraId="2D7C4E0C" w14:textId="77777777" w:rsidR="00C63DE5" w:rsidRDefault="00C63DE5" w:rsidP="00C63DE5">
      <w:pPr>
        <w:pStyle w:val="REG-Pa"/>
      </w:pPr>
    </w:p>
    <w:p w14:paraId="14CADBFB" w14:textId="77777777" w:rsidR="00C63DE5" w:rsidRPr="00C63DE5" w:rsidRDefault="00206481" w:rsidP="00C63DE5">
      <w:pPr>
        <w:pStyle w:val="REG-Amend"/>
        <w:rPr>
          <w:bCs/>
          <w:lang w:val="en-US"/>
        </w:rPr>
      </w:pPr>
      <w:r>
        <w:t>[</w:t>
      </w:r>
      <w:r w:rsidR="005B59D0">
        <w:t xml:space="preserve">The </w:t>
      </w:r>
      <w:r w:rsidR="005B59D0" w:rsidRPr="005B59D0">
        <w:t>Sectional Titles Act</w:t>
      </w:r>
      <w:r w:rsidR="005B59D0">
        <w:t xml:space="preserve"> </w:t>
      </w:r>
      <w:r w:rsidR="005B59D0" w:rsidRPr="005B59D0">
        <w:t>66 of 1971</w:t>
      </w:r>
      <w:r w:rsidR="005B59D0">
        <w:t xml:space="preserve"> has been replaced </w:t>
      </w:r>
      <w:r>
        <w:t xml:space="preserve">by the </w:t>
      </w:r>
      <w:r w:rsidRPr="00C63DE5">
        <w:rPr>
          <w:bCs/>
          <w:lang w:val="en-US"/>
        </w:rPr>
        <w:t>Sectional Titles Act 2 of 2009</w:t>
      </w:r>
      <w:r>
        <w:rPr>
          <w:bCs/>
          <w:lang w:val="en-US"/>
        </w:rPr>
        <w:t>.]</w:t>
      </w:r>
    </w:p>
    <w:p w14:paraId="4565F9CF" w14:textId="77777777" w:rsidR="001A64F1" w:rsidRPr="00C63DE5" w:rsidRDefault="001A64F1" w:rsidP="00C63DE5">
      <w:pPr>
        <w:pStyle w:val="REG-Pa"/>
      </w:pPr>
    </w:p>
    <w:p w14:paraId="742D5AEE" w14:textId="77777777" w:rsidR="001A64F1" w:rsidRPr="005265C3" w:rsidRDefault="00206481" w:rsidP="005265C3">
      <w:pPr>
        <w:pStyle w:val="REG-Pa"/>
      </w:pPr>
      <w:r w:rsidRPr="005265C3">
        <w:t>(h)</w:t>
      </w:r>
      <w:r w:rsidRPr="005265C3">
        <w:tab/>
        <w:t>quality control and quality assurance.</w:t>
      </w:r>
    </w:p>
    <w:p w14:paraId="0B064969" w14:textId="77777777" w:rsidR="001A64F1" w:rsidRPr="005265C3" w:rsidRDefault="001A64F1" w:rsidP="005265C3">
      <w:pPr>
        <w:pStyle w:val="REG-Pa"/>
      </w:pPr>
    </w:p>
    <w:p w14:paraId="0B3AF8D2" w14:textId="77777777" w:rsidR="001A64F1" w:rsidRPr="005265C3" w:rsidRDefault="00206481" w:rsidP="005265C3">
      <w:pPr>
        <w:pStyle w:val="REG-Pa"/>
      </w:pPr>
      <w:r w:rsidRPr="005265C3">
        <w:t>(i)</w:t>
      </w:r>
      <w:r w:rsidRPr="005265C3">
        <w:tab/>
        <w:t>professional services in connection with work arising from the insolvency of the client or contractor.</w:t>
      </w:r>
    </w:p>
    <w:p w14:paraId="70684230" w14:textId="77777777" w:rsidR="001A64F1" w:rsidRPr="005265C3" w:rsidRDefault="001A64F1" w:rsidP="005265C3">
      <w:pPr>
        <w:pStyle w:val="REG-Pa"/>
      </w:pPr>
    </w:p>
    <w:p w14:paraId="6AC02A97" w14:textId="77777777" w:rsidR="001A64F1" w:rsidRDefault="00206481" w:rsidP="005265C3">
      <w:pPr>
        <w:pStyle w:val="REG-Pa"/>
      </w:pPr>
      <w:r w:rsidRPr="005265C3">
        <w:t>(j)</w:t>
      </w:r>
      <w:r w:rsidRPr="005265C3">
        <w:tab/>
        <w:t>litigation and disputes associated with the project concerned</w:t>
      </w:r>
      <w:r w:rsidRPr="00C63DE5">
        <w:t>.</w:t>
      </w:r>
    </w:p>
    <w:p w14:paraId="692EC622" w14:textId="77777777" w:rsidR="00C63DE5" w:rsidRDefault="00C63DE5" w:rsidP="00C63DE5">
      <w:pPr>
        <w:pStyle w:val="REG-Pa"/>
      </w:pPr>
    </w:p>
    <w:p w14:paraId="4273FA0B" w14:textId="77777777" w:rsidR="001A64F1" w:rsidRPr="005265C3" w:rsidRDefault="00206481" w:rsidP="005265C3">
      <w:pPr>
        <w:pStyle w:val="REG-P1"/>
      </w:pPr>
      <w:r w:rsidRPr="005265C3">
        <w:t>(5)</w:t>
      </w:r>
      <w:r w:rsidRPr="005265C3">
        <w:tab/>
        <w:t>The provision of a maintenance and operating manual if requested by the client or if deemed essential by the architect for the maintenance or operation of the works, is normally classified as a supplementary service.</w:t>
      </w:r>
    </w:p>
    <w:p w14:paraId="764C3CDA" w14:textId="77777777" w:rsidR="001A64F1" w:rsidRPr="00C63DE5" w:rsidRDefault="001A64F1" w:rsidP="00C63DE5">
      <w:pPr>
        <w:pStyle w:val="REG-P1"/>
      </w:pPr>
    </w:p>
    <w:p w14:paraId="65C774A0" w14:textId="77777777" w:rsidR="001A64F1" w:rsidRPr="005265C3" w:rsidRDefault="00206481" w:rsidP="005265C3">
      <w:pPr>
        <w:pStyle w:val="REG-P1"/>
      </w:pPr>
      <w:r w:rsidRPr="005265C3">
        <w:t>(6)</w:t>
      </w:r>
      <w:r w:rsidRPr="005265C3">
        <w:tab/>
        <w:t>If supplementary or revised documentation is required due to the exigencies of the project or revised requirements received from the client and arising subsequent to the architect having received the client</w:t>
      </w:r>
      <w:r w:rsidR="005265C3" w:rsidRPr="005265C3">
        <w:t>’</w:t>
      </w:r>
      <w:r w:rsidRPr="005265C3">
        <w:t>s instructions to proceed with the project and having commenced work, the compilation thereof is normally classified as supplementary services, provided that such compilation is not covered by any other additional fees.</w:t>
      </w:r>
    </w:p>
    <w:p w14:paraId="2FD1FAAA" w14:textId="77777777" w:rsidR="001A64F1" w:rsidRPr="00C63DE5" w:rsidRDefault="001A64F1" w:rsidP="00C63DE5">
      <w:pPr>
        <w:pStyle w:val="REG-P1"/>
      </w:pPr>
    </w:p>
    <w:p w14:paraId="258A0BC0" w14:textId="77777777" w:rsidR="001A64F1" w:rsidRDefault="00206481" w:rsidP="00C63DE5">
      <w:pPr>
        <w:pStyle w:val="REG-P1"/>
      </w:pPr>
      <w:r>
        <w:t>(7)</w:t>
      </w:r>
      <w:r>
        <w:tab/>
      </w:r>
      <w:r w:rsidRPr="00C63DE5">
        <w:t>Special project management activities are normally classified as supplementary services.</w:t>
      </w:r>
    </w:p>
    <w:p w14:paraId="3BF17CDF" w14:textId="77777777" w:rsidR="001A64F1" w:rsidRPr="00C63DE5" w:rsidRDefault="001A64F1" w:rsidP="00C63DE5">
      <w:pPr>
        <w:pStyle w:val="REG-P1"/>
      </w:pPr>
    </w:p>
    <w:p w14:paraId="3A5052BA" w14:textId="77777777" w:rsidR="001A64F1" w:rsidRPr="00C63DE5" w:rsidRDefault="00206481" w:rsidP="00C63DE5">
      <w:pPr>
        <w:pStyle w:val="REG-P1"/>
      </w:pPr>
      <w:r>
        <w:t>(8)</w:t>
      </w:r>
      <w:r>
        <w:tab/>
      </w:r>
      <w:r w:rsidRPr="00C63DE5">
        <w:t>Additional services as principal agent are normally classified as supplementary services.</w:t>
      </w:r>
    </w:p>
    <w:p w14:paraId="368269A3" w14:textId="77777777" w:rsidR="001A64F1" w:rsidRPr="00C63DE5" w:rsidRDefault="001A64F1" w:rsidP="00C63DE5">
      <w:pPr>
        <w:pStyle w:val="REG-P1"/>
      </w:pPr>
    </w:p>
    <w:p w14:paraId="441B514E" w14:textId="77777777" w:rsidR="001A64F1" w:rsidRDefault="00206481" w:rsidP="00C63DE5">
      <w:pPr>
        <w:pStyle w:val="REG-P1"/>
      </w:pPr>
      <w:r>
        <w:t>(9)</w:t>
      </w:r>
      <w:r>
        <w:tab/>
      </w:r>
      <w:r w:rsidRPr="00C63DE5">
        <w:t>Mutually agreed additional services are normally classified as supplementary services.</w:t>
      </w:r>
    </w:p>
    <w:p w14:paraId="670AF4ED" w14:textId="77777777" w:rsidR="00C63DE5" w:rsidRPr="00C63DE5" w:rsidRDefault="00C63DE5" w:rsidP="00C63DE5">
      <w:pPr>
        <w:pStyle w:val="REG-P1"/>
      </w:pPr>
    </w:p>
    <w:p w14:paraId="2A630EE7" w14:textId="77777777" w:rsidR="00C63DE5" w:rsidRPr="00C63DE5" w:rsidRDefault="00206481" w:rsidP="00C63DE5">
      <w:pPr>
        <w:pStyle w:val="REG-P0"/>
        <w:rPr>
          <w:b/>
        </w:rPr>
      </w:pPr>
      <w:r w:rsidRPr="00C63DE5">
        <w:rPr>
          <w:b/>
        </w:rPr>
        <w:t>Fees for Standard Services</w:t>
      </w:r>
    </w:p>
    <w:p w14:paraId="353F6F7D" w14:textId="77777777" w:rsidR="00C63DE5" w:rsidRPr="00C63DE5" w:rsidRDefault="00C63DE5" w:rsidP="00C63DE5">
      <w:pPr>
        <w:pStyle w:val="REG-P0"/>
        <w:rPr>
          <w:b/>
        </w:rPr>
      </w:pPr>
    </w:p>
    <w:p w14:paraId="5DA4D165" w14:textId="77777777" w:rsidR="00C63DE5" w:rsidRPr="00C63DE5" w:rsidRDefault="003C6423" w:rsidP="00C63DE5">
      <w:pPr>
        <w:pStyle w:val="REG-P1"/>
      </w:pPr>
      <w:r>
        <w:rPr>
          <w:b/>
        </w:rPr>
        <w:t>5.</w:t>
      </w:r>
      <w:r>
        <w:rPr>
          <w:b/>
        </w:rPr>
        <w:tab/>
      </w:r>
      <w:r w:rsidR="00206481" w:rsidRPr="00C63DE5">
        <w:t>(</w:t>
      </w:r>
      <w:r w:rsidR="00206481">
        <w:t>1</w:t>
      </w:r>
      <w:r w:rsidR="00206481" w:rsidRPr="00C63DE5">
        <w:t>)</w:t>
      </w:r>
      <w:r w:rsidR="00206481">
        <w:tab/>
      </w:r>
      <w:r w:rsidR="00206481" w:rsidRPr="00C63DE5">
        <w:t xml:space="preserve">Subject to paragraph 6 the percentage fees for standard services are calculated in accordance with column A, B or C of the table in Annexure </w:t>
      </w:r>
      <w:r w:rsidR="00206481">
        <w:t>1</w:t>
      </w:r>
      <w:r w:rsidR="00206481" w:rsidRPr="00C63DE5">
        <w:t>.</w:t>
      </w:r>
    </w:p>
    <w:p w14:paraId="1701F85E" w14:textId="77777777" w:rsidR="00C63DE5" w:rsidRPr="00C63DE5" w:rsidRDefault="00C63DE5" w:rsidP="00C63DE5">
      <w:pPr>
        <w:pStyle w:val="REG-P1"/>
      </w:pPr>
    </w:p>
    <w:p w14:paraId="41A1FE79" w14:textId="77777777" w:rsidR="00C63DE5" w:rsidRPr="00C63DE5" w:rsidRDefault="00206481" w:rsidP="00C63DE5">
      <w:pPr>
        <w:pStyle w:val="REG-P1"/>
      </w:pPr>
      <w:r>
        <w:t>(2)</w:t>
      </w:r>
      <w:r>
        <w:tab/>
      </w:r>
      <w:r w:rsidRPr="00C63DE5">
        <w:t xml:space="preserve">For the purposes of Annexure </w:t>
      </w:r>
      <w:r>
        <w:t xml:space="preserve">1 </w:t>
      </w:r>
      <w:r w:rsidRPr="00C63DE5">
        <w:t>-</w:t>
      </w:r>
    </w:p>
    <w:p w14:paraId="7EAC3701" w14:textId="77777777" w:rsidR="00C63DE5" w:rsidRPr="00C63DE5" w:rsidRDefault="00C63DE5" w:rsidP="00C63DE5">
      <w:pPr>
        <w:pStyle w:val="REG-P0"/>
      </w:pPr>
    </w:p>
    <w:p w14:paraId="2FC71368" w14:textId="77777777" w:rsidR="00C63DE5" w:rsidRPr="00C63DE5" w:rsidRDefault="00206481" w:rsidP="00C63DE5">
      <w:pPr>
        <w:pStyle w:val="REG-Pa"/>
      </w:pPr>
      <w:r>
        <w:t>(a)</w:t>
      </w:r>
      <w:r>
        <w:tab/>
        <w:t>“</w:t>
      </w:r>
      <w:r w:rsidRPr="00C63DE5">
        <w:t>simple buildings</w:t>
      </w:r>
      <w:r>
        <w:t>”</w:t>
      </w:r>
      <w:r w:rsidRPr="00C63DE5">
        <w:t xml:space="preserve"> means structures of simple utilitarian character not</w:t>
      </w:r>
      <w:r w:rsidRPr="00C63DE5">
        <w:rPr>
          <w:lang w:val="en-ZA" w:eastAsia="en-ZA"/>
        </w:rPr>
        <mc:AlternateContent>
          <mc:Choice Requires="wps">
            <w:drawing>
              <wp:anchor distT="0" distB="0" distL="114300" distR="114300" simplePos="0" relativeHeight="251659264" behindDoc="0" locked="0" layoutInCell="1" allowOverlap="1" wp14:anchorId="27A414C4" wp14:editId="5CBD6450">
                <wp:simplePos x="0" y="0"/>
                <wp:positionH relativeFrom="page">
                  <wp:posOffset>476250</wp:posOffset>
                </wp:positionH>
                <wp:positionV relativeFrom="page">
                  <wp:posOffset>738505</wp:posOffset>
                </wp:positionV>
                <wp:extent cx="5728335" cy="0"/>
                <wp:effectExtent l="9525" t="14605" r="1524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9BD7"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58.15pt" to="488.5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" strokeweight=".33906mm">
                <w10:wrap anchorx="page" anchory="page"/>
              </v:line>
            </w:pict>
          </mc:Fallback>
        </mc:AlternateContent>
      </w:r>
      <w:r>
        <w:t xml:space="preserve"> </w:t>
      </w:r>
      <w:r w:rsidRPr="00C63DE5">
        <w:t>of complex design or detail and which require a minimum of mechanical and electrical equipment, for example -</w:t>
      </w:r>
    </w:p>
    <w:p w14:paraId="034041F2" w14:textId="77777777" w:rsidR="00C63DE5" w:rsidRPr="00C63DE5" w:rsidRDefault="00C63DE5" w:rsidP="00C63DE5">
      <w:pPr>
        <w:pStyle w:val="REG-P0"/>
      </w:pPr>
    </w:p>
    <w:p w14:paraId="532E8720" w14:textId="77777777" w:rsidR="005265C3" w:rsidRDefault="00206481" w:rsidP="007F203C">
      <w:pPr>
        <w:pStyle w:val="REG-Pi"/>
      </w:pPr>
      <w:r w:rsidRPr="00C63DE5">
        <w:t xml:space="preserve">aircraft hangars; </w:t>
      </w:r>
    </w:p>
    <w:p w14:paraId="3B02C8E5" w14:textId="77777777" w:rsidR="00C63DE5" w:rsidRPr="00C63DE5" w:rsidRDefault="00206481" w:rsidP="007F203C">
      <w:pPr>
        <w:pStyle w:val="REG-Pi"/>
      </w:pPr>
      <w:r w:rsidRPr="00C63DE5">
        <w:t>barracks;</w:t>
      </w:r>
    </w:p>
    <w:p w14:paraId="74E1C3BE" w14:textId="77777777" w:rsidR="005265C3" w:rsidRDefault="00206481" w:rsidP="007F203C">
      <w:pPr>
        <w:pStyle w:val="REG-Pi"/>
      </w:pPr>
      <w:r w:rsidRPr="00C63DE5">
        <w:t xml:space="preserve">industrial buildings; </w:t>
      </w:r>
    </w:p>
    <w:p w14:paraId="141F45F7" w14:textId="77777777" w:rsidR="00C63DE5" w:rsidRPr="00C63DE5" w:rsidRDefault="00206481" w:rsidP="007F203C">
      <w:pPr>
        <w:pStyle w:val="REG-Pi"/>
      </w:pPr>
      <w:r w:rsidRPr="00C63DE5">
        <w:t>sheds;</w:t>
      </w:r>
    </w:p>
    <w:p w14:paraId="0ECBC49D" w14:textId="77777777" w:rsidR="007F203C" w:rsidRDefault="00206481" w:rsidP="007F203C">
      <w:pPr>
        <w:pStyle w:val="REG-Pi"/>
      </w:pPr>
      <w:r w:rsidRPr="00C63DE5">
        <w:t xml:space="preserve">storage places (ordinary); and </w:t>
      </w:r>
    </w:p>
    <w:p w14:paraId="3A427122" w14:textId="77777777" w:rsidR="00C63DE5" w:rsidRPr="00C63DE5" w:rsidRDefault="00206481" w:rsidP="007F203C">
      <w:pPr>
        <w:pStyle w:val="REG-Pi"/>
      </w:pPr>
      <w:r w:rsidRPr="00C63DE5">
        <w:t>warehouses;</w:t>
      </w:r>
    </w:p>
    <w:p w14:paraId="21FB04BD" w14:textId="77777777" w:rsidR="00C63DE5" w:rsidRPr="00C63DE5" w:rsidRDefault="00C63DE5" w:rsidP="00C63DE5">
      <w:pPr>
        <w:pStyle w:val="REG-P0"/>
      </w:pPr>
    </w:p>
    <w:p w14:paraId="35F182E7" w14:textId="77777777" w:rsidR="00C63DE5" w:rsidRPr="007F203C" w:rsidRDefault="00206481" w:rsidP="007F203C">
      <w:pPr>
        <w:pStyle w:val="REG-Pa"/>
      </w:pPr>
      <w:r>
        <w:t>(b)</w:t>
      </w:r>
      <w:r>
        <w:tab/>
        <w:t>“</w:t>
      </w:r>
      <w:r w:rsidRPr="007F203C">
        <w:t>complex buildings</w:t>
      </w:r>
      <w:r>
        <w:t>”</w:t>
      </w:r>
      <w:r w:rsidRPr="007F203C">
        <w:t xml:space="preserve"> means structures of exceptional complexity of design or which require comparatively large quantities of scientific, mechanical and electrical equipment and other facilities requiring specialised detail, design and co-ordination, for example -</w:t>
      </w:r>
    </w:p>
    <w:p w14:paraId="0D37B342" w14:textId="77777777" w:rsidR="00C63DE5" w:rsidRPr="00C63DE5" w:rsidRDefault="00C63DE5" w:rsidP="00C63DE5">
      <w:pPr>
        <w:pStyle w:val="REG-P0"/>
      </w:pPr>
    </w:p>
    <w:p w14:paraId="2CE4AE90" w14:textId="77777777" w:rsidR="00C63DE5" w:rsidRPr="00C63DE5" w:rsidRDefault="00206481" w:rsidP="007F203C">
      <w:pPr>
        <w:pStyle w:val="REG-Pi"/>
      </w:pPr>
      <w:r w:rsidRPr="00C63DE5">
        <w:t>airport control towers;</w:t>
      </w:r>
    </w:p>
    <w:p w14:paraId="5C099E02" w14:textId="77777777" w:rsidR="00C63DE5" w:rsidRPr="00C63DE5" w:rsidRDefault="00206481" w:rsidP="007F203C">
      <w:pPr>
        <w:pStyle w:val="REG-Pi"/>
      </w:pPr>
      <w:r w:rsidRPr="00C63DE5">
        <w:t>aquariums;</w:t>
      </w:r>
    </w:p>
    <w:p w14:paraId="77FF8871" w14:textId="77777777" w:rsidR="007F203C" w:rsidRDefault="00206481" w:rsidP="007F203C">
      <w:pPr>
        <w:pStyle w:val="REG-Pi"/>
      </w:pPr>
      <w:r w:rsidRPr="00C63DE5">
        <w:t xml:space="preserve">auditoriums, opera houses, concert halls and theatres; </w:t>
      </w:r>
    </w:p>
    <w:p w14:paraId="21224F76" w14:textId="77777777" w:rsidR="00C63DE5" w:rsidRPr="00C63DE5" w:rsidRDefault="00206481" w:rsidP="007F203C">
      <w:pPr>
        <w:pStyle w:val="REG-Pi"/>
      </w:pPr>
      <w:r w:rsidRPr="00C63DE5">
        <w:t>city or town halls;</w:t>
      </w:r>
    </w:p>
    <w:p w14:paraId="3C4F37CF" w14:textId="77777777" w:rsidR="00C63DE5" w:rsidRPr="00C63DE5" w:rsidRDefault="00206481" w:rsidP="007F203C">
      <w:pPr>
        <w:pStyle w:val="REG-Pi"/>
      </w:pPr>
      <w:r w:rsidRPr="00C63DE5">
        <w:t>civic centres;</w:t>
      </w:r>
    </w:p>
    <w:p w14:paraId="461CE727" w14:textId="77777777" w:rsidR="00C63DE5" w:rsidRPr="00C63DE5" w:rsidRDefault="00206481" w:rsidP="007F203C">
      <w:pPr>
        <w:pStyle w:val="REG-Pi"/>
        <w:ind w:left="1134" w:firstLine="0"/>
      </w:pPr>
      <w:r w:rsidRPr="00C63DE5">
        <w:t>colleges or university buildings with special facilities such as medical schools and laboratories;</w:t>
      </w:r>
    </w:p>
    <w:p w14:paraId="5DDC8CAC" w14:textId="77777777" w:rsidR="005265C3" w:rsidRDefault="00206481" w:rsidP="007F203C">
      <w:pPr>
        <w:pStyle w:val="REG-Pi"/>
      </w:pPr>
      <w:r w:rsidRPr="00C63DE5">
        <w:t xml:space="preserve">communications, radio and television buildings; </w:t>
      </w:r>
    </w:p>
    <w:p w14:paraId="710D8397" w14:textId="77777777" w:rsidR="00C63DE5" w:rsidRPr="00C63DE5" w:rsidRDefault="00206481" w:rsidP="007F203C">
      <w:pPr>
        <w:pStyle w:val="REG-Pi"/>
      </w:pPr>
      <w:r w:rsidRPr="00C63DE5">
        <w:t>computer buildings;</w:t>
      </w:r>
    </w:p>
    <w:p w14:paraId="2E7E2148" w14:textId="77777777" w:rsidR="00C63DE5" w:rsidRPr="00C63DE5" w:rsidRDefault="00206481" w:rsidP="007F203C">
      <w:pPr>
        <w:pStyle w:val="REG-Pi"/>
      </w:pPr>
      <w:r w:rsidRPr="00C63DE5">
        <w:t>conservatories;</w:t>
      </w:r>
    </w:p>
    <w:p w14:paraId="37CF9083" w14:textId="77777777" w:rsidR="005265C3" w:rsidRDefault="00206481" w:rsidP="007F203C">
      <w:pPr>
        <w:pStyle w:val="REG-Pi"/>
      </w:pPr>
      <w:r w:rsidRPr="00C63DE5">
        <w:t xml:space="preserve">embassy and consulate buildings; </w:t>
      </w:r>
    </w:p>
    <w:p w14:paraId="30E7C4C3" w14:textId="77777777" w:rsidR="00C63DE5" w:rsidRPr="00C63DE5" w:rsidRDefault="00206481" w:rsidP="007F203C">
      <w:pPr>
        <w:pStyle w:val="REG-Pi"/>
      </w:pPr>
      <w:r w:rsidRPr="00C63DE5">
        <w:t>funeral parlours;</w:t>
      </w:r>
    </w:p>
    <w:p w14:paraId="46743825" w14:textId="77777777" w:rsidR="005265C3" w:rsidRDefault="00206481" w:rsidP="007F203C">
      <w:pPr>
        <w:pStyle w:val="REG-Pi"/>
      </w:pPr>
      <w:r w:rsidRPr="00C63DE5">
        <w:t xml:space="preserve">hospitals and polyclinics; </w:t>
      </w:r>
    </w:p>
    <w:p w14:paraId="739AABF8" w14:textId="77777777" w:rsidR="005265C3" w:rsidRDefault="00206481" w:rsidP="007F203C">
      <w:pPr>
        <w:pStyle w:val="REG-Pi"/>
      </w:pPr>
      <w:r w:rsidRPr="00C63DE5">
        <w:t xml:space="preserve">hotels, bars and restaurants; </w:t>
      </w:r>
    </w:p>
    <w:p w14:paraId="0FC442B5" w14:textId="77777777" w:rsidR="00C63DE5" w:rsidRPr="00C63DE5" w:rsidRDefault="00206481" w:rsidP="007F203C">
      <w:pPr>
        <w:pStyle w:val="REG-Pi"/>
      </w:pPr>
      <w:r w:rsidRPr="00C63DE5">
        <w:t>houses (individual);</w:t>
      </w:r>
    </w:p>
    <w:p w14:paraId="773FC5BC" w14:textId="77777777" w:rsidR="007F203C" w:rsidRDefault="00206481" w:rsidP="007F203C">
      <w:pPr>
        <w:pStyle w:val="REG-Pi"/>
      </w:pPr>
      <w:r w:rsidRPr="00C63DE5">
        <w:t>industrial buildings of a complex nature such as abattoirs and breweries;</w:t>
      </w:r>
    </w:p>
    <w:p w14:paraId="6491AF09" w14:textId="77777777" w:rsidR="00C63DE5" w:rsidRPr="00C63DE5" w:rsidRDefault="00206481" w:rsidP="007F203C">
      <w:pPr>
        <w:pStyle w:val="REG-Pi"/>
      </w:pPr>
      <w:r w:rsidRPr="00C63DE5">
        <w:t>monuments and memorials;</w:t>
      </w:r>
    </w:p>
    <w:p w14:paraId="43F4E248" w14:textId="77777777" w:rsidR="00C63DE5" w:rsidRPr="00C63DE5" w:rsidRDefault="00206481" w:rsidP="007F203C">
      <w:pPr>
        <w:pStyle w:val="REG-Pi"/>
      </w:pPr>
      <w:r w:rsidRPr="00C63DE5">
        <w:t>mortuaries;</w:t>
      </w:r>
    </w:p>
    <w:p w14:paraId="2499C138" w14:textId="77777777" w:rsidR="005265C3" w:rsidRDefault="00206481" w:rsidP="007F203C">
      <w:pPr>
        <w:pStyle w:val="REG-Pi"/>
      </w:pPr>
      <w:r w:rsidRPr="00C63DE5">
        <w:t xml:space="preserve">nuclear power stations; </w:t>
      </w:r>
    </w:p>
    <w:p w14:paraId="39964BC0" w14:textId="77777777" w:rsidR="00C63DE5" w:rsidRPr="00C63DE5" w:rsidRDefault="00206481" w:rsidP="007F203C">
      <w:pPr>
        <w:pStyle w:val="REG-Pi"/>
      </w:pPr>
      <w:r w:rsidRPr="00C63DE5">
        <w:t>observatories;</w:t>
      </w:r>
    </w:p>
    <w:p w14:paraId="55E4C663" w14:textId="77777777" w:rsidR="00C63DE5" w:rsidRPr="00C63DE5" w:rsidRDefault="00206481" w:rsidP="007F203C">
      <w:pPr>
        <w:pStyle w:val="REG-Pi"/>
      </w:pPr>
      <w:r w:rsidRPr="00C63DE5">
        <w:t>places of worship; and</w:t>
      </w:r>
    </w:p>
    <w:p w14:paraId="449BA24D" w14:textId="77777777" w:rsidR="00C63DE5" w:rsidRDefault="00206481" w:rsidP="007F203C">
      <w:pPr>
        <w:pStyle w:val="REG-Pi"/>
      </w:pPr>
      <w:r w:rsidRPr="00C63DE5">
        <w:t>research and scientific buildings and laboratories.</w:t>
      </w:r>
    </w:p>
    <w:p w14:paraId="21AE31C0" w14:textId="77777777" w:rsidR="007F203C" w:rsidRPr="007F203C" w:rsidRDefault="007F203C" w:rsidP="007F203C">
      <w:pPr>
        <w:pStyle w:val="REG-P0"/>
      </w:pPr>
    </w:p>
    <w:p w14:paraId="32B75B0F" w14:textId="77777777" w:rsidR="007F203C" w:rsidRDefault="00206481" w:rsidP="007F203C">
      <w:pPr>
        <w:pStyle w:val="REG-P0"/>
        <w:rPr>
          <w:b/>
        </w:rPr>
      </w:pPr>
      <w:r w:rsidRPr="007F203C">
        <w:rPr>
          <w:b/>
        </w:rPr>
        <w:t>Additions and alterations to existing buildings;</w:t>
      </w:r>
    </w:p>
    <w:p w14:paraId="3F2D0CCA" w14:textId="77777777" w:rsidR="007F203C" w:rsidRDefault="007F203C" w:rsidP="007F203C">
      <w:pPr>
        <w:pStyle w:val="REG-P0"/>
        <w:rPr>
          <w:b/>
        </w:rPr>
      </w:pPr>
    </w:p>
    <w:p w14:paraId="3E508005" w14:textId="77777777" w:rsidR="007F203C" w:rsidRDefault="00206481" w:rsidP="007F203C">
      <w:pPr>
        <w:pStyle w:val="REG-P1"/>
      </w:pPr>
      <w:r>
        <w:rPr>
          <w:b/>
        </w:rPr>
        <w:t>6.</w:t>
      </w:r>
      <w:r>
        <w:rPr>
          <w:b/>
        </w:rPr>
        <w:tab/>
      </w:r>
      <w:r w:rsidRPr="007F203C">
        <w:t>The amount of the fee for additions is calculated in accordance with column A, B or C of Annexure 1, as the case may be, and the fee for those portions of the works which constitute alterations is calculated in a similar manner but increased by 30 per cent.</w:t>
      </w:r>
    </w:p>
    <w:p w14:paraId="314C031A" w14:textId="77777777" w:rsidR="007F203C" w:rsidRPr="007F203C" w:rsidRDefault="007F203C" w:rsidP="007F203C">
      <w:pPr>
        <w:pStyle w:val="REG-P0"/>
      </w:pPr>
    </w:p>
    <w:p w14:paraId="4C1FDAA1" w14:textId="77777777" w:rsidR="007F203C" w:rsidRPr="007F203C" w:rsidRDefault="00206481" w:rsidP="007F203C">
      <w:pPr>
        <w:pStyle w:val="REG-P0"/>
        <w:rPr>
          <w:b/>
        </w:rPr>
      </w:pPr>
      <w:r w:rsidRPr="007F203C">
        <w:rPr>
          <w:b/>
        </w:rPr>
        <w:t>Apportionment of fees between stages and basis of payment for work as described in Paragraph 3:</w:t>
      </w:r>
    </w:p>
    <w:p w14:paraId="7D1338B0" w14:textId="77777777" w:rsidR="007F203C" w:rsidRPr="007F203C" w:rsidRDefault="007F203C" w:rsidP="007F203C">
      <w:pPr>
        <w:pStyle w:val="REG-P0"/>
      </w:pPr>
    </w:p>
    <w:p w14:paraId="6572AED9" w14:textId="77777777" w:rsidR="007F203C" w:rsidRPr="007F203C" w:rsidRDefault="00206481" w:rsidP="007F203C">
      <w:pPr>
        <w:pStyle w:val="REG-P1"/>
      </w:pPr>
      <w:r>
        <w:rPr>
          <w:b/>
        </w:rPr>
        <w:t>7.</w:t>
      </w:r>
      <w:r>
        <w:rPr>
          <w:b/>
        </w:rPr>
        <w:tab/>
      </w:r>
      <w:r>
        <w:t>(1)</w:t>
      </w:r>
    </w:p>
    <w:p w14:paraId="7BAA9EDC" w14:textId="77777777" w:rsidR="007F203C" w:rsidRPr="007F203C" w:rsidRDefault="007F203C" w:rsidP="007F203C">
      <w:pPr>
        <w:pStyle w:val="REG-P0"/>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0"/>
        <w:gridCol w:w="1982"/>
        <w:gridCol w:w="1992"/>
      </w:tblGrid>
      <w:tr w:rsidR="00271040" w14:paraId="25E82116" w14:textId="77777777" w:rsidTr="008F5963">
        <w:trPr>
          <w:trHeight w:val="273"/>
        </w:trPr>
        <w:tc>
          <w:tcPr>
            <w:tcW w:w="2020" w:type="dxa"/>
            <w:vAlign w:val="center"/>
          </w:tcPr>
          <w:p w14:paraId="5B9D4A91" w14:textId="77777777" w:rsidR="007F203C" w:rsidRPr="007F203C" w:rsidRDefault="00206481" w:rsidP="007F203C">
            <w:pPr>
              <w:pStyle w:val="REG-P0"/>
              <w:jc w:val="center"/>
            </w:pPr>
            <w:r w:rsidRPr="007F203C">
              <w:t>Work stage</w:t>
            </w:r>
          </w:p>
        </w:tc>
        <w:tc>
          <w:tcPr>
            <w:tcW w:w="1982" w:type="dxa"/>
            <w:vAlign w:val="center"/>
          </w:tcPr>
          <w:p w14:paraId="3C428534" w14:textId="77777777" w:rsidR="007F203C" w:rsidRPr="007F203C" w:rsidRDefault="00206481" w:rsidP="007F203C">
            <w:pPr>
              <w:pStyle w:val="REG-P0"/>
              <w:jc w:val="center"/>
            </w:pPr>
            <w:r w:rsidRPr="007F203C">
              <w:t>Proportion of fee</w:t>
            </w:r>
          </w:p>
        </w:tc>
        <w:tc>
          <w:tcPr>
            <w:tcW w:w="1992" w:type="dxa"/>
            <w:vAlign w:val="center"/>
          </w:tcPr>
          <w:p w14:paraId="5EFCDE47" w14:textId="77777777" w:rsidR="007F203C" w:rsidRPr="007F203C" w:rsidRDefault="00206481" w:rsidP="007F203C">
            <w:pPr>
              <w:pStyle w:val="REG-P0"/>
              <w:jc w:val="center"/>
            </w:pPr>
            <w:r w:rsidRPr="007F203C">
              <w:t>Cumulative total</w:t>
            </w:r>
          </w:p>
        </w:tc>
      </w:tr>
      <w:tr w:rsidR="00271040" w14:paraId="0D12F96A" w14:textId="77777777" w:rsidTr="008F5963">
        <w:trPr>
          <w:trHeight w:val="377"/>
        </w:trPr>
        <w:tc>
          <w:tcPr>
            <w:tcW w:w="2020" w:type="dxa"/>
            <w:tcBorders>
              <w:bottom w:val="nil"/>
            </w:tcBorders>
            <w:vAlign w:val="center"/>
          </w:tcPr>
          <w:p w14:paraId="554A13EB" w14:textId="77777777" w:rsidR="007F203C" w:rsidRPr="007F203C" w:rsidRDefault="00206481" w:rsidP="007F203C">
            <w:pPr>
              <w:pStyle w:val="REG-P0"/>
              <w:jc w:val="center"/>
            </w:pPr>
            <w:r w:rsidRPr="007F203C">
              <w:t>1</w:t>
            </w:r>
          </w:p>
        </w:tc>
        <w:tc>
          <w:tcPr>
            <w:tcW w:w="1982" w:type="dxa"/>
            <w:tcBorders>
              <w:bottom w:val="nil"/>
            </w:tcBorders>
            <w:vAlign w:val="center"/>
          </w:tcPr>
          <w:p w14:paraId="15EB10CA" w14:textId="77777777" w:rsidR="007F203C" w:rsidRPr="007F203C" w:rsidRDefault="00206481" w:rsidP="007F203C">
            <w:pPr>
              <w:pStyle w:val="REG-P0"/>
              <w:jc w:val="center"/>
            </w:pPr>
            <w:r w:rsidRPr="007F203C">
              <w:t>5%</w:t>
            </w:r>
          </w:p>
        </w:tc>
        <w:tc>
          <w:tcPr>
            <w:tcW w:w="1992" w:type="dxa"/>
            <w:tcBorders>
              <w:bottom w:val="nil"/>
            </w:tcBorders>
            <w:vAlign w:val="center"/>
          </w:tcPr>
          <w:p w14:paraId="75EFD6DE" w14:textId="77777777" w:rsidR="007F203C" w:rsidRPr="007F203C" w:rsidRDefault="00206481" w:rsidP="007F203C">
            <w:pPr>
              <w:pStyle w:val="REG-P0"/>
              <w:jc w:val="center"/>
            </w:pPr>
            <w:r w:rsidRPr="007F203C">
              <w:t>5%</w:t>
            </w:r>
          </w:p>
        </w:tc>
      </w:tr>
      <w:tr w:rsidR="00271040" w14:paraId="6B61A862" w14:textId="77777777" w:rsidTr="008F5963">
        <w:trPr>
          <w:trHeight w:val="437"/>
        </w:trPr>
        <w:tc>
          <w:tcPr>
            <w:tcW w:w="2020" w:type="dxa"/>
            <w:tcBorders>
              <w:top w:val="nil"/>
              <w:bottom w:val="nil"/>
            </w:tcBorders>
            <w:vAlign w:val="center"/>
          </w:tcPr>
          <w:p w14:paraId="2BF7073D" w14:textId="77777777" w:rsidR="007F203C" w:rsidRPr="007F203C" w:rsidRDefault="00206481" w:rsidP="007F203C">
            <w:pPr>
              <w:pStyle w:val="REG-P0"/>
              <w:jc w:val="center"/>
            </w:pPr>
            <w:r w:rsidRPr="007F203C">
              <w:t>2</w:t>
            </w:r>
          </w:p>
        </w:tc>
        <w:tc>
          <w:tcPr>
            <w:tcW w:w="1982" w:type="dxa"/>
            <w:tcBorders>
              <w:top w:val="nil"/>
              <w:bottom w:val="nil"/>
            </w:tcBorders>
            <w:vAlign w:val="center"/>
          </w:tcPr>
          <w:p w14:paraId="3EDD7DAF" w14:textId="77777777" w:rsidR="007F203C" w:rsidRPr="007F203C" w:rsidRDefault="00206481" w:rsidP="007F203C">
            <w:pPr>
              <w:pStyle w:val="REG-P0"/>
              <w:jc w:val="center"/>
            </w:pPr>
            <w:r w:rsidRPr="007F203C">
              <w:t>15%</w:t>
            </w:r>
          </w:p>
        </w:tc>
        <w:tc>
          <w:tcPr>
            <w:tcW w:w="1992" w:type="dxa"/>
            <w:tcBorders>
              <w:top w:val="nil"/>
              <w:bottom w:val="nil"/>
            </w:tcBorders>
            <w:vAlign w:val="center"/>
          </w:tcPr>
          <w:p w14:paraId="522B8A33" w14:textId="77777777" w:rsidR="007F203C" w:rsidRPr="007F203C" w:rsidRDefault="00206481" w:rsidP="007F203C">
            <w:pPr>
              <w:pStyle w:val="REG-P0"/>
              <w:jc w:val="center"/>
            </w:pPr>
            <w:r w:rsidRPr="007F203C">
              <w:t>20%</w:t>
            </w:r>
          </w:p>
        </w:tc>
      </w:tr>
      <w:tr w:rsidR="00271040" w14:paraId="50CE7BD0" w14:textId="77777777" w:rsidTr="008F5963">
        <w:trPr>
          <w:trHeight w:val="444"/>
        </w:trPr>
        <w:tc>
          <w:tcPr>
            <w:tcW w:w="2020" w:type="dxa"/>
            <w:tcBorders>
              <w:top w:val="nil"/>
              <w:bottom w:val="nil"/>
            </w:tcBorders>
            <w:vAlign w:val="center"/>
          </w:tcPr>
          <w:p w14:paraId="1C8599FC" w14:textId="77777777" w:rsidR="007F203C" w:rsidRPr="007F203C" w:rsidRDefault="00206481" w:rsidP="007F203C">
            <w:pPr>
              <w:pStyle w:val="REG-P0"/>
              <w:jc w:val="center"/>
            </w:pPr>
            <w:r w:rsidRPr="007F203C">
              <w:t>3</w:t>
            </w:r>
          </w:p>
        </w:tc>
        <w:tc>
          <w:tcPr>
            <w:tcW w:w="1982" w:type="dxa"/>
            <w:tcBorders>
              <w:top w:val="nil"/>
              <w:bottom w:val="nil"/>
            </w:tcBorders>
            <w:vAlign w:val="center"/>
          </w:tcPr>
          <w:p w14:paraId="4C711F0E" w14:textId="77777777" w:rsidR="007F203C" w:rsidRPr="007F203C" w:rsidRDefault="00206481" w:rsidP="007F203C">
            <w:pPr>
              <w:pStyle w:val="REG-P0"/>
              <w:jc w:val="center"/>
            </w:pPr>
            <w:r w:rsidRPr="007F203C">
              <w:t>15%</w:t>
            </w:r>
          </w:p>
        </w:tc>
        <w:tc>
          <w:tcPr>
            <w:tcW w:w="1992" w:type="dxa"/>
            <w:tcBorders>
              <w:top w:val="nil"/>
              <w:bottom w:val="nil"/>
            </w:tcBorders>
            <w:vAlign w:val="center"/>
          </w:tcPr>
          <w:p w14:paraId="2AC13301" w14:textId="77777777" w:rsidR="007F203C" w:rsidRPr="007F203C" w:rsidRDefault="00206481" w:rsidP="007F203C">
            <w:pPr>
              <w:pStyle w:val="REG-P0"/>
              <w:jc w:val="center"/>
            </w:pPr>
            <w:r w:rsidRPr="007F203C">
              <w:t>35%</w:t>
            </w:r>
          </w:p>
        </w:tc>
      </w:tr>
      <w:tr w:rsidR="00271040" w14:paraId="2256BC11" w14:textId="77777777" w:rsidTr="008F5963">
        <w:trPr>
          <w:trHeight w:val="430"/>
        </w:trPr>
        <w:tc>
          <w:tcPr>
            <w:tcW w:w="2020" w:type="dxa"/>
            <w:tcBorders>
              <w:top w:val="nil"/>
              <w:bottom w:val="nil"/>
            </w:tcBorders>
            <w:vAlign w:val="center"/>
          </w:tcPr>
          <w:p w14:paraId="1C70BB39" w14:textId="77777777" w:rsidR="007F203C" w:rsidRPr="007F203C" w:rsidRDefault="00206481" w:rsidP="007F203C">
            <w:pPr>
              <w:pStyle w:val="REG-P0"/>
              <w:jc w:val="center"/>
            </w:pPr>
            <w:r w:rsidRPr="007F203C">
              <w:t>4</w:t>
            </w:r>
          </w:p>
        </w:tc>
        <w:tc>
          <w:tcPr>
            <w:tcW w:w="1982" w:type="dxa"/>
            <w:tcBorders>
              <w:top w:val="nil"/>
              <w:bottom w:val="nil"/>
            </w:tcBorders>
            <w:vAlign w:val="center"/>
          </w:tcPr>
          <w:p w14:paraId="2BCB3953" w14:textId="77777777" w:rsidR="007F203C" w:rsidRPr="007F203C" w:rsidRDefault="00206481" w:rsidP="007F203C">
            <w:pPr>
              <w:pStyle w:val="REG-P0"/>
              <w:jc w:val="center"/>
            </w:pPr>
            <w:r w:rsidRPr="007F203C">
              <w:t>40%</w:t>
            </w:r>
          </w:p>
        </w:tc>
        <w:tc>
          <w:tcPr>
            <w:tcW w:w="1992" w:type="dxa"/>
            <w:tcBorders>
              <w:top w:val="nil"/>
              <w:bottom w:val="nil"/>
            </w:tcBorders>
            <w:vAlign w:val="center"/>
          </w:tcPr>
          <w:p w14:paraId="2E62E0CC" w14:textId="77777777" w:rsidR="007F203C" w:rsidRPr="007F203C" w:rsidRDefault="00206481" w:rsidP="007F203C">
            <w:pPr>
              <w:pStyle w:val="REG-P0"/>
              <w:jc w:val="center"/>
            </w:pPr>
            <w:r w:rsidRPr="007F203C">
              <w:t>75%</w:t>
            </w:r>
          </w:p>
        </w:tc>
      </w:tr>
      <w:tr w:rsidR="00271040" w14:paraId="57F01ACD" w14:textId="77777777" w:rsidTr="008F5963">
        <w:trPr>
          <w:trHeight w:val="328"/>
        </w:trPr>
        <w:tc>
          <w:tcPr>
            <w:tcW w:w="2020" w:type="dxa"/>
            <w:tcBorders>
              <w:top w:val="nil"/>
            </w:tcBorders>
            <w:vAlign w:val="center"/>
          </w:tcPr>
          <w:p w14:paraId="7479965D" w14:textId="77777777" w:rsidR="007F203C" w:rsidRPr="007F203C" w:rsidRDefault="00206481" w:rsidP="007F203C">
            <w:pPr>
              <w:pStyle w:val="REG-P0"/>
              <w:jc w:val="center"/>
            </w:pPr>
            <w:r w:rsidRPr="007F203C">
              <w:t>5</w:t>
            </w:r>
          </w:p>
        </w:tc>
        <w:tc>
          <w:tcPr>
            <w:tcW w:w="1982" w:type="dxa"/>
            <w:tcBorders>
              <w:top w:val="nil"/>
            </w:tcBorders>
            <w:vAlign w:val="center"/>
          </w:tcPr>
          <w:p w14:paraId="778A64D8" w14:textId="77777777" w:rsidR="007F203C" w:rsidRPr="007F203C" w:rsidRDefault="00206481" w:rsidP="007F203C">
            <w:pPr>
              <w:pStyle w:val="REG-P0"/>
              <w:jc w:val="center"/>
            </w:pPr>
            <w:r w:rsidRPr="007F203C">
              <w:t>25%</w:t>
            </w:r>
          </w:p>
        </w:tc>
        <w:tc>
          <w:tcPr>
            <w:tcW w:w="1992" w:type="dxa"/>
            <w:tcBorders>
              <w:top w:val="nil"/>
            </w:tcBorders>
            <w:vAlign w:val="center"/>
          </w:tcPr>
          <w:p w14:paraId="134BA470" w14:textId="77777777" w:rsidR="007F203C" w:rsidRPr="007F203C" w:rsidRDefault="00206481" w:rsidP="007F203C">
            <w:pPr>
              <w:pStyle w:val="REG-P0"/>
              <w:jc w:val="center"/>
            </w:pPr>
            <w:r w:rsidRPr="007F203C">
              <w:t>100%</w:t>
            </w:r>
          </w:p>
        </w:tc>
      </w:tr>
    </w:tbl>
    <w:p w14:paraId="31411A91" w14:textId="77777777" w:rsidR="007F203C" w:rsidRDefault="007F203C" w:rsidP="007F203C">
      <w:pPr>
        <w:pStyle w:val="REG-P1"/>
      </w:pPr>
    </w:p>
    <w:p w14:paraId="29A4FC54" w14:textId="77777777" w:rsidR="007F203C" w:rsidRPr="007F203C" w:rsidRDefault="00206481" w:rsidP="007F203C">
      <w:pPr>
        <w:pStyle w:val="REG-P1"/>
      </w:pPr>
      <w:r>
        <w:t>(2)</w:t>
      </w:r>
      <w:r>
        <w:tab/>
      </w:r>
      <w:r w:rsidRPr="007F203C">
        <w:t>Notwithstanding subparagraph (</w:t>
      </w:r>
      <w:r>
        <w:t>1</w:t>
      </w:r>
      <w:r w:rsidRPr="007F203C">
        <w:t>), apportionment of fees to stages may be adjusted in negotiations with the client.</w:t>
      </w:r>
    </w:p>
    <w:p w14:paraId="3970D937" w14:textId="77777777" w:rsidR="007F203C" w:rsidRPr="007F203C" w:rsidRDefault="007F203C" w:rsidP="007F203C">
      <w:pPr>
        <w:pStyle w:val="REG-P1"/>
      </w:pPr>
    </w:p>
    <w:p w14:paraId="3949DD63" w14:textId="77777777" w:rsidR="007F203C" w:rsidRPr="007F203C" w:rsidRDefault="00206481" w:rsidP="007F203C">
      <w:pPr>
        <w:pStyle w:val="REG-P1"/>
      </w:pPr>
      <w:r>
        <w:t>(3)</w:t>
      </w:r>
      <w:r>
        <w:tab/>
      </w:r>
      <w:r w:rsidRPr="007F203C">
        <w:t>Subject to paragraph 8, the remuneration of the architect for the standard services performed in terms of paragraph 3 shall, unless otherwise agreed with the client, become due to the architect at the completion of each stage, apportioned as recommended in subparagraph (1).</w:t>
      </w:r>
    </w:p>
    <w:p w14:paraId="61BEE09A" w14:textId="77777777" w:rsidR="001A64F1" w:rsidRDefault="001A64F1" w:rsidP="00C63DE5">
      <w:pPr>
        <w:pStyle w:val="REG-P0"/>
      </w:pPr>
    </w:p>
    <w:p w14:paraId="72BB5247" w14:textId="77777777" w:rsidR="007F203C" w:rsidRPr="007F203C" w:rsidRDefault="00206481" w:rsidP="007F203C">
      <w:pPr>
        <w:pStyle w:val="REG-P0"/>
        <w:rPr>
          <w:b/>
        </w:rPr>
      </w:pPr>
      <w:r w:rsidRPr="007F203C">
        <w:rPr>
          <w:b/>
        </w:rPr>
        <w:t>Partial standard services:</w:t>
      </w:r>
    </w:p>
    <w:p w14:paraId="175061EF" w14:textId="77777777" w:rsidR="007F203C" w:rsidRDefault="007F203C" w:rsidP="007F203C">
      <w:pPr>
        <w:pStyle w:val="REG-P0"/>
      </w:pPr>
    </w:p>
    <w:p w14:paraId="01C9D649" w14:textId="77777777" w:rsidR="007F203C" w:rsidRPr="007F203C" w:rsidRDefault="00206481" w:rsidP="007F203C">
      <w:pPr>
        <w:pStyle w:val="REG-P1"/>
      </w:pPr>
      <w:r>
        <w:rPr>
          <w:b/>
        </w:rPr>
        <w:t>8.</w:t>
      </w:r>
      <w:r>
        <w:rPr>
          <w:b/>
        </w:rPr>
        <w:tab/>
      </w:r>
      <w:r w:rsidRPr="007F203C">
        <w:t>(1)</w:t>
      </w:r>
      <w:r w:rsidRPr="007F203C">
        <w:tab/>
        <w:t>Unless otherwise agreed between the client and the architect, if an architect is appointed to render a partial standard service only, the fee, subject to subparagraph (2), shall be the percentage relevant to each work stage based on the cost of the works and calculated in accordance with the table in Annexure 1.</w:t>
      </w:r>
    </w:p>
    <w:p w14:paraId="372E546F" w14:textId="77777777" w:rsidR="007F203C" w:rsidRPr="007F203C" w:rsidRDefault="007F203C" w:rsidP="007F203C">
      <w:pPr>
        <w:pStyle w:val="REG-P1"/>
      </w:pPr>
    </w:p>
    <w:p w14:paraId="0769FCB9" w14:textId="77777777" w:rsidR="007F203C" w:rsidRPr="007F203C" w:rsidRDefault="00206481" w:rsidP="007F203C">
      <w:pPr>
        <w:pStyle w:val="REG-P1"/>
      </w:pPr>
      <w:r w:rsidRPr="007F203C">
        <w:t>(2)</w:t>
      </w:r>
      <w:r w:rsidRPr="007F203C">
        <w:tab/>
        <w:t>Unless otherwise agreed between the client and the architect, where an architect is appointed to take over work from another person previously commissioned for such work at any stage after stage one has been completed, the fee for the first subsequent stage shall be increased by 15 per cent.</w:t>
      </w:r>
    </w:p>
    <w:p w14:paraId="0810F9E3" w14:textId="77777777" w:rsidR="007F203C" w:rsidRDefault="007F203C" w:rsidP="00C63DE5">
      <w:pPr>
        <w:pStyle w:val="REG-P0"/>
      </w:pPr>
    </w:p>
    <w:p w14:paraId="0E4F212E" w14:textId="77777777" w:rsidR="007F203C" w:rsidRPr="007F203C" w:rsidRDefault="00206481" w:rsidP="007F203C">
      <w:pPr>
        <w:pStyle w:val="REG-P0"/>
        <w:rPr>
          <w:b/>
        </w:rPr>
      </w:pPr>
      <w:r w:rsidRPr="007F203C">
        <w:rPr>
          <w:b/>
        </w:rPr>
        <w:t>Fees for repeated buildings</w:t>
      </w:r>
    </w:p>
    <w:p w14:paraId="0CB89F88" w14:textId="77777777" w:rsidR="007F203C" w:rsidRPr="007F203C" w:rsidRDefault="007F203C" w:rsidP="007F203C">
      <w:pPr>
        <w:pStyle w:val="REG-P0"/>
      </w:pPr>
    </w:p>
    <w:p w14:paraId="21CCD244" w14:textId="77777777" w:rsidR="007F203C" w:rsidRPr="007F203C" w:rsidRDefault="00206481" w:rsidP="005A1293">
      <w:pPr>
        <w:pStyle w:val="REG-Pa"/>
      </w:pPr>
      <w:r w:rsidRPr="007F203C">
        <w:rPr>
          <w:b/>
        </w:rPr>
        <w:t>9.</w:t>
      </w:r>
      <w:r w:rsidRPr="007F203C">
        <w:tab/>
        <w:t>(1)</w:t>
      </w:r>
      <w:r w:rsidRPr="007F203C">
        <w:tab/>
        <w:t>(a)</w:t>
      </w:r>
      <w:r w:rsidRPr="007F203C">
        <w:tab/>
      </w:r>
      <w:r w:rsidRPr="005A1293">
        <w:t>Where</w:t>
      </w:r>
      <w:r w:rsidRPr="007F203C">
        <w:t xml:space="preserve"> a </w:t>
      </w:r>
      <w:r w:rsidRPr="003C6423">
        <w:t>building scheme erected under a single contract</w:t>
      </w:r>
      <w:r w:rsidRPr="007F203C">
        <w:t xml:space="preserve"> consists of a</w:t>
      </w:r>
      <w:r w:rsidR="005A1293">
        <w:t xml:space="preserve"> </w:t>
      </w:r>
      <w:r w:rsidRPr="007F203C">
        <w:t>number of buildings -</w:t>
      </w:r>
    </w:p>
    <w:p w14:paraId="49AB3479" w14:textId="77777777" w:rsidR="007F203C" w:rsidRPr="007F203C" w:rsidRDefault="007F203C" w:rsidP="00942C21">
      <w:pPr>
        <w:pStyle w:val="REG-Pa"/>
        <w:ind w:left="0" w:firstLine="0"/>
      </w:pPr>
    </w:p>
    <w:p w14:paraId="4808E185" w14:textId="77777777" w:rsidR="007F203C" w:rsidRPr="007F203C" w:rsidRDefault="00206481" w:rsidP="003C6423">
      <w:pPr>
        <w:pStyle w:val="REG-Pi"/>
      </w:pPr>
      <w:r>
        <w:t>(i)</w:t>
      </w:r>
      <w:r>
        <w:tab/>
      </w:r>
      <w:r w:rsidRPr="007F203C">
        <w:t>erected on one site or on a series of adjoining sites for a single client;</w:t>
      </w:r>
    </w:p>
    <w:p w14:paraId="17C083CF" w14:textId="77777777" w:rsidR="007F203C" w:rsidRPr="007F203C" w:rsidRDefault="007F203C" w:rsidP="003C6423">
      <w:pPr>
        <w:pStyle w:val="REG-Pi"/>
      </w:pPr>
    </w:p>
    <w:p w14:paraId="4F8D6388" w14:textId="77777777" w:rsidR="007F203C" w:rsidRPr="007F203C" w:rsidRDefault="00206481" w:rsidP="003C6423">
      <w:pPr>
        <w:pStyle w:val="REG-Pi"/>
      </w:pPr>
      <w:r>
        <w:t>(ii)</w:t>
      </w:r>
      <w:r>
        <w:tab/>
      </w:r>
      <w:r w:rsidRPr="007F203C">
        <w:t>either wholly separate from each other or linked together with screen walls, common walls or other similar means; and</w:t>
      </w:r>
    </w:p>
    <w:p w14:paraId="7E302F3F" w14:textId="77777777" w:rsidR="007F203C" w:rsidRPr="007F203C" w:rsidRDefault="007F203C" w:rsidP="003C6423">
      <w:pPr>
        <w:pStyle w:val="REG-Pi"/>
      </w:pPr>
    </w:p>
    <w:p w14:paraId="199171BC" w14:textId="77777777" w:rsidR="003C6423" w:rsidRDefault="003C6423" w:rsidP="003C6423">
      <w:pPr>
        <w:pStyle w:val="REG-Pi"/>
      </w:pPr>
      <w:r>
        <w:t>(iii)</w:t>
      </w:r>
      <w:r>
        <w:tab/>
      </w:r>
      <w:r w:rsidR="00206481" w:rsidRPr="007F203C">
        <w:t xml:space="preserve">which are a repetition of one or more prototype designs and built from the repeated use of one or more sets of drawings and related documents with nominal or no modification for re-use, </w:t>
      </w:r>
    </w:p>
    <w:p w14:paraId="7BC4F7DC" w14:textId="77777777" w:rsidR="003C6423" w:rsidRDefault="003C6423" w:rsidP="007F203C">
      <w:pPr>
        <w:pStyle w:val="REG-P1"/>
        <w:ind w:left="567" w:firstLine="0"/>
      </w:pPr>
    </w:p>
    <w:p w14:paraId="4E65A676" w14:textId="77777777" w:rsidR="003C6423" w:rsidRDefault="00206481" w:rsidP="00E01314">
      <w:pPr>
        <w:pStyle w:val="REG-P0"/>
        <w:ind w:left="1134"/>
      </w:pPr>
      <w:r w:rsidRPr="007F203C">
        <w:t xml:space="preserve">the fee for professional services for </w:t>
      </w:r>
      <w:r w:rsidR="003C6423">
        <w:t>the prototype must be based on the cost of the prototype, calculated in accordance with paragraph 5.</w:t>
      </w:r>
    </w:p>
    <w:p w14:paraId="2CAFDA4E" w14:textId="77777777" w:rsidR="003C6423" w:rsidRDefault="003C6423" w:rsidP="007F203C">
      <w:pPr>
        <w:pStyle w:val="REG-P1"/>
        <w:ind w:left="567" w:firstLine="0"/>
      </w:pPr>
    </w:p>
    <w:p w14:paraId="7156A937" w14:textId="77777777" w:rsidR="007F203C" w:rsidRPr="005A1293" w:rsidRDefault="00E01314" w:rsidP="005A1293">
      <w:pPr>
        <w:pStyle w:val="REG-Pa"/>
      </w:pPr>
      <w:r>
        <w:t>(b)</w:t>
      </w:r>
      <w:r>
        <w:tab/>
        <w:t>The repe</w:t>
      </w:r>
      <w:r w:rsidR="003C6423" w:rsidRPr="005A1293">
        <w:t xml:space="preserve">tition fees for professional services, for </w:t>
      </w:r>
      <w:r w:rsidR="00206481" w:rsidRPr="005A1293">
        <w:t>work stage</w:t>
      </w:r>
      <w:r w:rsidR="003C6423" w:rsidRPr="005A1293">
        <w:t>s</w:t>
      </w:r>
      <w:r w:rsidR="00206481" w:rsidRPr="005A1293">
        <w:t xml:space="preserve"> 1 to 4</w:t>
      </w:r>
      <w:r w:rsidR="003C6423" w:rsidRPr="005A1293">
        <w:t>, both</w:t>
      </w:r>
      <w:r w:rsidR="00206481" w:rsidRPr="005A1293">
        <w:t xml:space="preserve"> inclusive, as set out in paragraph 3</w:t>
      </w:r>
      <w:r w:rsidR="003C6423" w:rsidRPr="005A1293">
        <w:t xml:space="preserve"> for all the repeated buildings excluding the prototype, must </w:t>
      </w:r>
      <w:r w:rsidR="00206481" w:rsidRPr="005A1293">
        <w:t>be calculated in accordance with the formula</w:t>
      </w:r>
    </w:p>
    <w:p w14:paraId="24A69CBE" w14:textId="77777777" w:rsidR="007F203C" w:rsidRPr="005739CF" w:rsidRDefault="007F203C" w:rsidP="00205004">
      <w:pPr>
        <w:pStyle w:val="REG-P0"/>
        <w:ind w:left="1701"/>
      </w:pPr>
    </w:p>
    <w:p w14:paraId="26D7DEF2" w14:textId="77777777" w:rsidR="007F203C" w:rsidRPr="0062334E" w:rsidRDefault="00206481" w:rsidP="0062334E">
      <w:pPr>
        <w:pStyle w:val="REG-P0"/>
        <w:ind w:left="1418"/>
        <w:rPr>
          <w:u w:val="single"/>
        </w:rPr>
      </w:pPr>
      <w:r w:rsidRPr="0062334E">
        <w:rPr>
          <w:w w:val="105"/>
          <w:u w:val="single"/>
        </w:rPr>
        <w:t>F(N+2P)</w:t>
      </w:r>
    </w:p>
    <w:p w14:paraId="4290AD0D" w14:textId="77777777" w:rsidR="007F203C" w:rsidRPr="000B652E" w:rsidRDefault="00206481" w:rsidP="0062334E">
      <w:pPr>
        <w:pStyle w:val="REG-P0"/>
        <w:ind w:left="1644"/>
      </w:pPr>
      <w:r w:rsidRPr="000B652E">
        <w:rPr>
          <w:w w:val="105"/>
        </w:rPr>
        <w:t>4N</w:t>
      </w:r>
    </w:p>
    <w:p w14:paraId="434B9BF9" w14:textId="77777777" w:rsidR="007F203C" w:rsidRPr="000B652E" w:rsidRDefault="007F203C" w:rsidP="00E01314">
      <w:pPr>
        <w:pStyle w:val="REG-Pa"/>
        <w:ind w:left="1701"/>
      </w:pPr>
    </w:p>
    <w:p w14:paraId="46AB678A" w14:textId="77777777" w:rsidR="007F203C" w:rsidRPr="005739CF" w:rsidRDefault="00206481" w:rsidP="00E079DE">
      <w:pPr>
        <w:pStyle w:val="REG-P1"/>
        <w:ind w:left="1134" w:firstLine="0"/>
      </w:pPr>
      <w:r w:rsidRPr="005739CF">
        <w:t>where F is the fee based on the cost of the repeated portion of the building scheme calculated in accordance with paragraph 5, N is the total number of buildings in the building scheme, and P is the number of different sets of drawings and related documents from which they are built.</w:t>
      </w:r>
    </w:p>
    <w:p w14:paraId="38AFE8EF" w14:textId="77777777" w:rsidR="007F203C" w:rsidRDefault="007F203C" w:rsidP="007F203C">
      <w:pPr>
        <w:pStyle w:val="BodyText"/>
        <w:rPr>
          <w:sz w:val="26"/>
        </w:rPr>
      </w:pPr>
    </w:p>
    <w:p w14:paraId="4F87DD75" w14:textId="77777777" w:rsidR="007F203C" w:rsidRDefault="00206481" w:rsidP="008F5963">
      <w:pPr>
        <w:pStyle w:val="REG-Pa"/>
      </w:pPr>
      <w:r w:rsidRPr="008F5963">
        <w:t>(</w:t>
      </w:r>
      <w:r w:rsidR="005739CF">
        <w:t>c</w:t>
      </w:r>
      <w:r w:rsidRPr="008F5963">
        <w:t>)</w:t>
      </w:r>
      <w:r w:rsidR="008F5963">
        <w:tab/>
      </w:r>
      <w:r w:rsidRPr="008F5963">
        <w:t xml:space="preserve">The fee for work stage 5 </w:t>
      </w:r>
      <w:r w:rsidR="005739CF">
        <w:t>is</w:t>
      </w:r>
      <w:r w:rsidRPr="008F5963">
        <w:t xml:space="preserve"> 25% of the fee based on the cost of the entire building scheme calculated in accordance with paragraph 5.</w:t>
      </w:r>
    </w:p>
    <w:p w14:paraId="2A47BA08" w14:textId="77777777" w:rsidR="005739CF" w:rsidRDefault="005739CF" w:rsidP="008F5963">
      <w:pPr>
        <w:pStyle w:val="REG-Pa"/>
      </w:pPr>
    </w:p>
    <w:p w14:paraId="1CB8874C" w14:textId="77777777" w:rsidR="005739CF" w:rsidRPr="005739CF" w:rsidRDefault="005739CF" w:rsidP="005739CF">
      <w:pPr>
        <w:pStyle w:val="REG-Pa"/>
      </w:pPr>
      <w:r w:rsidRPr="005739CF">
        <w:t>(d)</w:t>
      </w:r>
      <w:r w:rsidRPr="005739CF">
        <w:tab/>
        <w:t>Modifications to the design as approved by the client or substantial technical</w:t>
      </w:r>
      <w:r>
        <w:t xml:space="preserve"> </w:t>
      </w:r>
      <w:r w:rsidRPr="005739CF">
        <w:t>modifications to the documentation where considered necessary by the</w:t>
      </w:r>
      <w:r>
        <w:t xml:space="preserve"> </w:t>
      </w:r>
      <w:r w:rsidRPr="005739CF">
        <w:t>architect for the proper adjustment of the repeated buildings on the site and</w:t>
      </w:r>
      <w:r>
        <w:t xml:space="preserve"> </w:t>
      </w:r>
      <w:r w:rsidRPr="005739CF">
        <w:t xml:space="preserve">approved by the client, must be charged by the architect on a </w:t>
      </w:r>
      <w:r>
        <w:t>“</w:t>
      </w:r>
      <w:r w:rsidRPr="005739CF">
        <w:t>time charge</w:t>
      </w:r>
      <w:r>
        <w:t xml:space="preserve">” </w:t>
      </w:r>
      <w:r w:rsidRPr="005739CF">
        <w:t>basis, in accordance with Annexure 2</w:t>
      </w:r>
      <w:r>
        <w:t>.</w:t>
      </w:r>
    </w:p>
    <w:p w14:paraId="6E2B1F89" w14:textId="77777777" w:rsidR="003C6423" w:rsidRDefault="003C6423" w:rsidP="003C6423">
      <w:pPr>
        <w:pStyle w:val="BodyText"/>
        <w:spacing w:before="10"/>
        <w:ind w:left="0"/>
        <w:rPr>
          <w:sz w:val="23"/>
        </w:rPr>
      </w:pPr>
    </w:p>
    <w:p w14:paraId="0765BC11" w14:textId="77777777" w:rsidR="003C6423" w:rsidRPr="008F5963" w:rsidRDefault="003C6423" w:rsidP="003C6423">
      <w:pPr>
        <w:pStyle w:val="REG-Amend"/>
      </w:pPr>
      <w:r>
        <w:t>[subparagraph (1) substituted by GN 221/2003]</w:t>
      </w:r>
    </w:p>
    <w:p w14:paraId="64EC7DDD" w14:textId="77777777" w:rsidR="007F203C" w:rsidRPr="008F5963" w:rsidRDefault="007F203C" w:rsidP="008F5963">
      <w:pPr>
        <w:pStyle w:val="REG-P0"/>
      </w:pPr>
    </w:p>
    <w:p w14:paraId="5FA56F22" w14:textId="77777777" w:rsidR="007F203C" w:rsidRDefault="00206481" w:rsidP="008F5963">
      <w:pPr>
        <w:pStyle w:val="REG-P1"/>
      </w:pPr>
      <w:r>
        <w:t>(2)</w:t>
      </w:r>
      <w:r>
        <w:tab/>
      </w:r>
      <w:r w:rsidRPr="008F5963">
        <w:t xml:space="preserve">Where the drawings and related documents for any building scheme are re-used one or more times for </w:t>
      </w:r>
      <w:r w:rsidRPr="005739CF">
        <w:t>subsequent building schemes on different sites and under separate contracts with nominal or no modification for each re-use -</w:t>
      </w:r>
    </w:p>
    <w:p w14:paraId="68A5621C" w14:textId="77777777" w:rsidR="008F5963" w:rsidRDefault="008F5963" w:rsidP="008F5963">
      <w:pPr>
        <w:pStyle w:val="REG-P1"/>
      </w:pPr>
    </w:p>
    <w:p w14:paraId="2BB1C88E" w14:textId="77777777" w:rsidR="007F203C" w:rsidRDefault="00206481" w:rsidP="008F5963">
      <w:pPr>
        <w:pStyle w:val="REG-Pa"/>
      </w:pPr>
      <w:r>
        <w:t>(a)</w:t>
      </w:r>
      <w:r>
        <w:tab/>
      </w:r>
      <w:r w:rsidRPr="008F5963">
        <w:t xml:space="preserve">the </w:t>
      </w:r>
      <w:r w:rsidR="005739CF">
        <w:t xml:space="preserve">repetition fees for </w:t>
      </w:r>
      <w:r w:rsidRPr="008F5963">
        <w:t>professional services</w:t>
      </w:r>
      <w:r w:rsidR="005739CF">
        <w:t>, for work stages 1 to 4, both inclusive, as set out in paragraph 3 for all the repeated buildings is calculated in accordance with the formula</w:t>
      </w:r>
    </w:p>
    <w:p w14:paraId="5E67B724" w14:textId="77777777" w:rsidR="005739CF" w:rsidRDefault="005739CF" w:rsidP="008F5963">
      <w:pPr>
        <w:pStyle w:val="REG-Pa"/>
      </w:pPr>
    </w:p>
    <w:p w14:paraId="4BE9CBD3" w14:textId="77777777" w:rsidR="005739CF" w:rsidRPr="0062334E" w:rsidRDefault="005739CF" w:rsidP="000208FE">
      <w:pPr>
        <w:spacing w:before="91"/>
        <w:ind w:left="1418"/>
        <w:rPr>
          <w:u w:val="single"/>
        </w:rPr>
      </w:pPr>
      <w:r w:rsidRPr="0062334E">
        <w:rPr>
          <w:w w:val="105"/>
          <w:u w:val="single"/>
        </w:rPr>
        <w:t>F(N+2P)</w:t>
      </w:r>
    </w:p>
    <w:p w14:paraId="633D3F22" w14:textId="77777777" w:rsidR="005739CF" w:rsidRPr="00E37354" w:rsidRDefault="005739CF" w:rsidP="000208FE">
      <w:pPr>
        <w:spacing w:before="30"/>
        <w:ind w:left="1644"/>
      </w:pPr>
      <w:r w:rsidRPr="00E37354">
        <w:rPr>
          <w:w w:val="105"/>
        </w:rPr>
        <w:t>4N</w:t>
      </w:r>
    </w:p>
    <w:p w14:paraId="3FABE141" w14:textId="77777777" w:rsidR="005739CF" w:rsidRPr="005739CF" w:rsidRDefault="005739CF" w:rsidP="00E37354">
      <w:pPr>
        <w:pStyle w:val="REG-P0"/>
        <w:ind w:left="570"/>
      </w:pPr>
    </w:p>
    <w:p w14:paraId="3FED55A7" w14:textId="77777777" w:rsidR="005739CF" w:rsidRPr="005739CF" w:rsidRDefault="005739CF" w:rsidP="00E37354">
      <w:pPr>
        <w:pStyle w:val="REG-P1"/>
        <w:ind w:left="1137" w:firstLine="0"/>
      </w:pPr>
      <w:r w:rsidRPr="005739CF">
        <w:t>where F is the fee based on the cost of the repeated portion of the building scheme calculated in accordance with paragraph 5, N is the total number of buildings in the building scheme, and P is the number of different sets of drawings and related docu</w:t>
      </w:r>
      <w:r w:rsidR="00E37354">
        <w:t>ments from which they are built;</w:t>
      </w:r>
    </w:p>
    <w:p w14:paraId="0EFBB5BF" w14:textId="77777777" w:rsidR="005739CF" w:rsidRDefault="005739CF" w:rsidP="008F5963">
      <w:pPr>
        <w:pStyle w:val="REG-Pa"/>
      </w:pPr>
    </w:p>
    <w:p w14:paraId="69781E33" w14:textId="77777777" w:rsidR="005739CF" w:rsidRPr="005739CF" w:rsidRDefault="005739CF" w:rsidP="005739CF">
      <w:pPr>
        <w:pStyle w:val="REG-Pa"/>
      </w:pPr>
      <w:r>
        <w:t>(b)</w:t>
      </w:r>
      <w:r>
        <w:tab/>
      </w:r>
      <w:r w:rsidRPr="005739CF">
        <w:t>the fees for full professional services for stages 1 to 4, both inclusive, for the external work on each site must be calculated in accordance with paragraph 5;</w:t>
      </w:r>
    </w:p>
    <w:p w14:paraId="402B851C" w14:textId="77777777" w:rsidR="005739CF" w:rsidRPr="005739CF" w:rsidRDefault="005739CF" w:rsidP="005739CF">
      <w:pPr>
        <w:pStyle w:val="REG-Pa"/>
      </w:pPr>
    </w:p>
    <w:p w14:paraId="609E634E" w14:textId="77777777" w:rsidR="005739CF" w:rsidRPr="005739CF" w:rsidRDefault="005739CF" w:rsidP="005739CF">
      <w:pPr>
        <w:pStyle w:val="REG-Pa"/>
      </w:pPr>
      <w:r>
        <w:t>(c)</w:t>
      </w:r>
      <w:r>
        <w:tab/>
      </w:r>
      <w:r w:rsidRPr="005739CF">
        <w:t xml:space="preserve">modifications to the design as approved by the client or substantial technical modifications to the documentation where it is considered necessary by the architect for the proper adjustment of the scheme on each site and approved by the client, must be charged by the architect on a </w:t>
      </w:r>
      <w:r>
        <w:t>“</w:t>
      </w:r>
      <w:r w:rsidRPr="005739CF">
        <w:t>time charge</w:t>
      </w:r>
      <w:r>
        <w:t>”</w:t>
      </w:r>
      <w:r w:rsidRPr="005739CF">
        <w:t xml:space="preserve"> basis, in accordance with Annexure 2;</w:t>
      </w:r>
    </w:p>
    <w:p w14:paraId="375482E6" w14:textId="77777777" w:rsidR="005739CF" w:rsidRPr="005739CF" w:rsidRDefault="005739CF" w:rsidP="005739CF">
      <w:pPr>
        <w:pStyle w:val="REG-Pa"/>
      </w:pPr>
    </w:p>
    <w:p w14:paraId="402E8A0C" w14:textId="77777777" w:rsidR="005739CF" w:rsidRPr="005739CF" w:rsidRDefault="005739CF" w:rsidP="005739CF">
      <w:pPr>
        <w:pStyle w:val="REG-Pa"/>
      </w:pPr>
      <w:r>
        <w:t>(d)</w:t>
      </w:r>
      <w:r>
        <w:tab/>
      </w:r>
      <w:r w:rsidRPr="005739CF">
        <w:t>the fee for stage 5 is 25% of the fee, based on the cost of the entire building scheme, calculated in accordance with paragraph 5; and</w:t>
      </w:r>
    </w:p>
    <w:p w14:paraId="5472B5B1" w14:textId="77777777" w:rsidR="005739CF" w:rsidRPr="005739CF" w:rsidRDefault="005739CF" w:rsidP="005739CF">
      <w:pPr>
        <w:pStyle w:val="REG-Pa"/>
      </w:pPr>
    </w:p>
    <w:p w14:paraId="4FB11E24" w14:textId="77777777" w:rsidR="005739CF" w:rsidRPr="005739CF" w:rsidRDefault="005739CF" w:rsidP="005739CF">
      <w:pPr>
        <w:pStyle w:val="REG-Pa"/>
      </w:pPr>
      <w:r>
        <w:t>(e)</w:t>
      </w:r>
      <w:r>
        <w:tab/>
      </w:r>
      <w:r w:rsidRPr="005739CF">
        <w:t>where the initial architect of the prototype is not required to render any professional services in respect of the re-use of drawings and related documents for any subsequent building scheme, the architect is entitled to a royalty of 7.5% of the fee based on the cost of the subsequent building scheme, calculated in accordance with paragraph 5, for re-use of the drawings and related documents</w:t>
      </w:r>
      <w:r>
        <w:t>.</w:t>
      </w:r>
    </w:p>
    <w:p w14:paraId="58DE38EC" w14:textId="77777777" w:rsidR="007F203C" w:rsidRDefault="007F203C" w:rsidP="007F203C">
      <w:pPr>
        <w:pStyle w:val="BodyText"/>
        <w:spacing w:before="10"/>
        <w:rPr>
          <w:sz w:val="23"/>
        </w:rPr>
      </w:pPr>
    </w:p>
    <w:p w14:paraId="603A9A83" w14:textId="77777777" w:rsidR="003C6423" w:rsidRDefault="003C6423" w:rsidP="003C6423">
      <w:pPr>
        <w:pStyle w:val="REG-Amend"/>
      </w:pPr>
      <w:r>
        <w:t>[subparagraph (2) substituted by GN 221/2003]</w:t>
      </w:r>
    </w:p>
    <w:p w14:paraId="43467931" w14:textId="77777777" w:rsidR="005739CF" w:rsidRDefault="005739CF" w:rsidP="005739CF">
      <w:pPr>
        <w:pStyle w:val="REG-P0"/>
      </w:pPr>
    </w:p>
    <w:p w14:paraId="01A43255" w14:textId="77777777" w:rsidR="005739CF" w:rsidRPr="005739CF" w:rsidRDefault="005739CF" w:rsidP="005739CF">
      <w:pPr>
        <w:pStyle w:val="REG-P1"/>
      </w:pPr>
      <w:r w:rsidRPr="005739CF">
        <w:t>(3A)</w:t>
      </w:r>
      <w:r>
        <w:tab/>
      </w:r>
      <w:r w:rsidRPr="005739CF">
        <w:t>For the purposes of subparagraph (2), in each subsequent site the entire project is considered to be a repeated scheme including all repeated buildings, but the external work is considered to be unique to each site.</w:t>
      </w:r>
    </w:p>
    <w:p w14:paraId="132B9F14" w14:textId="77777777" w:rsidR="005739CF" w:rsidRPr="005739CF" w:rsidRDefault="005739CF" w:rsidP="005739CF">
      <w:pPr>
        <w:pStyle w:val="REG-P0"/>
      </w:pPr>
    </w:p>
    <w:p w14:paraId="0B827E96" w14:textId="77777777" w:rsidR="005739CF" w:rsidRDefault="00E37354" w:rsidP="005739CF">
      <w:pPr>
        <w:pStyle w:val="REG-Amend"/>
      </w:pPr>
      <w:r>
        <w:t>[S</w:t>
      </w:r>
      <w:r w:rsidR="005739CF">
        <w:t xml:space="preserve">ubparagraph (3A) </w:t>
      </w:r>
      <w:r>
        <w:t xml:space="preserve">is </w:t>
      </w:r>
      <w:r w:rsidR="005739CF">
        <w:t xml:space="preserve">inserted </w:t>
      </w:r>
      <w:r w:rsidR="005739CF" w:rsidRPr="00E37354">
        <w:rPr>
          <w:i/>
        </w:rPr>
        <w:t>before</w:t>
      </w:r>
      <w:r w:rsidR="005739CF">
        <w:t xml:space="preserve"> subparagraph (3) by GN 221/2003</w:t>
      </w:r>
      <w:r>
        <w:t>.</w:t>
      </w:r>
      <w:r w:rsidR="005739CF">
        <w:t>]</w:t>
      </w:r>
    </w:p>
    <w:p w14:paraId="283F07F0" w14:textId="77777777" w:rsidR="005739CF" w:rsidRDefault="005739CF" w:rsidP="007F203C">
      <w:pPr>
        <w:pStyle w:val="BodyText"/>
        <w:spacing w:before="10"/>
        <w:rPr>
          <w:sz w:val="23"/>
        </w:rPr>
      </w:pPr>
    </w:p>
    <w:p w14:paraId="1520504E" w14:textId="77777777" w:rsidR="007F203C" w:rsidRDefault="00206481" w:rsidP="003B27DB">
      <w:pPr>
        <w:pStyle w:val="REG-Pa"/>
      </w:pPr>
      <w:r>
        <w:t>(3)</w:t>
      </w:r>
      <w:r>
        <w:tab/>
      </w:r>
      <w:r w:rsidRPr="008F5963">
        <w:t>(a)</w:t>
      </w:r>
      <w:r>
        <w:tab/>
      </w:r>
      <w:r w:rsidRPr="008F5963">
        <w:t>The apportionment of fees between work stages l to 4 inclusive and the basis for payment for work a</w:t>
      </w:r>
      <w:r w:rsidR="003B27DB">
        <w:t>s described in subparagraphs (1</w:t>
      </w:r>
      <w:r w:rsidRPr="008F5963">
        <w:t>) and (2) are as follows:</w:t>
      </w:r>
    </w:p>
    <w:p w14:paraId="13B56E75" w14:textId="77777777" w:rsidR="008F5963" w:rsidRPr="008F5963" w:rsidRDefault="008F5963" w:rsidP="008F5963">
      <w:pPr>
        <w:pStyle w:val="REG-P1"/>
      </w:pPr>
    </w:p>
    <w:tbl>
      <w:tblPr>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5"/>
        <w:gridCol w:w="2433"/>
        <w:gridCol w:w="2308"/>
      </w:tblGrid>
      <w:tr w:rsidR="00271040" w14:paraId="2C398C90" w14:textId="77777777" w:rsidTr="005A33D4">
        <w:trPr>
          <w:trHeight w:val="547"/>
        </w:trPr>
        <w:tc>
          <w:tcPr>
            <w:tcW w:w="2015" w:type="dxa"/>
            <w:vAlign w:val="center"/>
          </w:tcPr>
          <w:p w14:paraId="325B3D7B" w14:textId="77777777" w:rsidR="007F203C" w:rsidRPr="008F5963" w:rsidRDefault="00206481" w:rsidP="008F5963">
            <w:pPr>
              <w:pStyle w:val="REG-P0"/>
              <w:jc w:val="center"/>
            </w:pPr>
            <w:r w:rsidRPr="008F5963">
              <w:t>Work stage</w:t>
            </w:r>
          </w:p>
        </w:tc>
        <w:tc>
          <w:tcPr>
            <w:tcW w:w="2433" w:type="dxa"/>
            <w:vAlign w:val="center"/>
          </w:tcPr>
          <w:p w14:paraId="71527800" w14:textId="77777777" w:rsidR="007F203C" w:rsidRPr="008F5963" w:rsidRDefault="00206481" w:rsidP="008F5963">
            <w:pPr>
              <w:pStyle w:val="REG-P0"/>
              <w:jc w:val="center"/>
            </w:pPr>
            <w:r w:rsidRPr="008F5963">
              <w:t>Proportion of fee for</w:t>
            </w:r>
          </w:p>
          <w:p w14:paraId="03D2982B" w14:textId="77777777" w:rsidR="007F203C" w:rsidRPr="008F5963" w:rsidRDefault="00206481" w:rsidP="005A33D4">
            <w:pPr>
              <w:pStyle w:val="REG-P0"/>
              <w:jc w:val="center"/>
            </w:pPr>
            <w:r w:rsidRPr="008F5963">
              <w:t xml:space="preserve">work stages </w:t>
            </w:r>
            <w:r w:rsidR="005A33D4">
              <w:t>1</w:t>
            </w:r>
            <w:r w:rsidRPr="008F5963">
              <w:t xml:space="preserve"> to 4</w:t>
            </w:r>
          </w:p>
        </w:tc>
        <w:tc>
          <w:tcPr>
            <w:tcW w:w="2308" w:type="dxa"/>
            <w:vAlign w:val="center"/>
          </w:tcPr>
          <w:p w14:paraId="412464BD" w14:textId="77777777" w:rsidR="007F203C" w:rsidRPr="008F5963" w:rsidRDefault="00206481" w:rsidP="008F5963">
            <w:pPr>
              <w:pStyle w:val="REG-P0"/>
              <w:jc w:val="center"/>
            </w:pPr>
            <w:r w:rsidRPr="008F5963">
              <w:t>Cumulative total</w:t>
            </w:r>
          </w:p>
        </w:tc>
      </w:tr>
      <w:tr w:rsidR="00271040" w14:paraId="5921299B" w14:textId="77777777" w:rsidTr="005A33D4">
        <w:trPr>
          <w:trHeight w:val="370"/>
        </w:trPr>
        <w:tc>
          <w:tcPr>
            <w:tcW w:w="2015" w:type="dxa"/>
            <w:tcBorders>
              <w:bottom w:val="nil"/>
            </w:tcBorders>
            <w:vAlign w:val="center"/>
          </w:tcPr>
          <w:p w14:paraId="36D24B5A" w14:textId="77777777" w:rsidR="007F203C" w:rsidRPr="008F5963" w:rsidRDefault="005A33D4" w:rsidP="008F5963">
            <w:pPr>
              <w:pStyle w:val="REG-P0"/>
              <w:jc w:val="center"/>
            </w:pPr>
            <w:r>
              <w:t>1</w:t>
            </w:r>
          </w:p>
        </w:tc>
        <w:tc>
          <w:tcPr>
            <w:tcW w:w="2433" w:type="dxa"/>
            <w:tcBorders>
              <w:bottom w:val="nil"/>
            </w:tcBorders>
            <w:vAlign w:val="center"/>
          </w:tcPr>
          <w:p w14:paraId="3CA189C5" w14:textId="77777777" w:rsidR="007F203C" w:rsidRPr="008F5963" w:rsidRDefault="00206481" w:rsidP="008F5963">
            <w:pPr>
              <w:pStyle w:val="REG-P0"/>
              <w:jc w:val="center"/>
            </w:pPr>
            <w:r w:rsidRPr="008F5963">
              <w:t>10%</w:t>
            </w:r>
          </w:p>
        </w:tc>
        <w:tc>
          <w:tcPr>
            <w:tcW w:w="2308" w:type="dxa"/>
            <w:tcBorders>
              <w:bottom w:val="nil"/>
            </w:tcBorders>
            <w:vAlign w:val="center"/>
          </w:tcPr>
          <w:p w14:paraId="1C2F2EBF" w14:textId="77777777" w:rsidR="007F203C" w:rsidRPr="008F5963" w:rsidRDefault="00206481" w:rsidP="008F5963">
            <w:pPr>
              <w:pStyle w:val="REG-P0"/>
              <w:jc w:val="center"/>
            </w:pPr>
            <w:r w:rsidRPr="008F5963">
              <w:t>10%</w:t>
            </w:r>
          </w:p>
        </w:tc>
      </w:tr>
      <w:tr w:rsidR="00271040" w14:paraId="418D1A60" w14:textId="77777777" w:rsidTr="005A33D4">
        <w:trPr>
          <w:trHeight w:val="442"/>
        </w:trPr>
        <w:tc>
          <w:tcPr>
            <w:tcW w:w="2015" w:type="dxa"/>
            <w:tcBorders>
              <w:top w:val="nil"/>
              <w:bottom w:val="nil"/>
            </w:tcBorders>
            <w:vAlign w:val="center"/>
          </w:tcPr>
          <w:p w14:paraId="6845FF71" w14:textId="77777777" w:rsidR="007F203C" w:rsidRPr="008F5963" w:rsidRDefault="00206481" w:rsidP="008F5963">
            <w:pPr>
              <w:pStyle w:val="REG-P0"/>
              <w:jc w:val="center"/>
            </w:pPr>
            <w:r w:rsidRPr="008F5963">
              <w:t>2</w:t>
            </w:r>
          </w:p>
        </w:tc>
        <w:tc>
          <w:tcPr>
            <w:tcW w:w="2433" w:type="dxa"/>
            <w:tcBorders>
              <w:top w:val="nil"/>
              <w:bottom w:val="nil"/>
            </w:tcBorders>
            <w:vAlign w:val="center"/>
          </w:tcPr>
          <w:p w14:paraId="60656D9D" w14:textId="77777777" w:rsidR="007F203C" w:rsidRPr="008F5963" w:rsidRDefault="00206481" w:rsidP="008F5963">
            <w:pPr>
              <w:pStyle w:val="REG-P0"/>
              <w:jc w:val="center"/>
            </w:pPr>
            <w:r w:rsidRPr="008F5963">
              <w:t>20%</w:t>
            </w:r>
          </w:p>
        </w:tc>
        <w:tc>
          <w:tcPr>
            <w:tcW w:w="2308" w:type="dxa"/>
            <w:tcBorders>
              <w:top w:val="nil"/>
              <w:bottom w:val="nil"/>
            </w:tcBorders>
            <w:vAlign w:val="center"/>
          </w:tcPr>
          <w:p w14:paraId="2E2AF887" w14:textId="77777777" w:rsidR="007F203C" w:rsidRPr="008F5963" w:rsidRDefault="00206481" w:rsidP="008F5963">
            <w:pPr>
              <w:pStyle w:val="REG-P0"/>
              <w:jc w:val="center"/>
            </w:pPr>
            <w:r w:rsidRPr="008F5963">
              <w:t>30%</w:t>
            </w:r>
          </w:p>
        </w:tc>
      </w:tr>
      <w:tr w:rsidR="00271040" w14:paraId="49B51510" w14:textId="77777777" w:rsidTr="005A33D4">
        <w:trPr>
          <w:trHeight w:val="442"/>
        </w:trPr>
        <w:tc>
          <w:tcPr>
            <w:tcW w:w="2015" w:type="dxa"/>
            <w:tcBorders>
              <w:top w:val="nil"/>
              <w:bottom w:val="nil"/>
            </w:tcBorders>
            <w:vAlign w:val="center"/>
          </w:tcPr>
          <w:p w14:paraId="5D39ABB7" w14:textId="77777777" w:rsidR="007F203C" w:rsidRPr="008F5963" w:rsidRDefault="00206481" w:rsidP="008F5963">
            <w:pPr>
              <w:pStyle w:val="REG-P0"/>
              <w:jc w:val="center"/>
            </w:pPr>
            <w:r w:rsidRPr="008F5963">
              <w:t>3</w:t>
            </w:r>
          </w:p>
        </w:tc>
        <w:tc>
          <w:tcPr>
            <w:tcW w:w="2433" w:type="dxa"/>
            <w:tcBorders>
              <w:top w:val="nil"/>
              <w:bottom w:val="nil"/>
            </w:tcBorders>
            <w:vAlign w:val="center"/>
          </w:tcPr>
          <w:p w14:paraId="087D7954" w14:textId="77777777" w:rsidR="007F203C" w:rsidRPr="008F5963" w:rsidRDefault="00206481" w:rsidP="008F5963">
            <w:pPr>
              <w:pStyle w:val="REG-P0"/>
              <w:jc w:val="center"/>
            </w:pPr>
            <w:r w:rsidRPr="008F5963">
              <w:t>20%</w:t>
            </w:r>
          </w:p>
        </w:tc>
        <w:tc>
          <w:tcPr>
            <w:tcW w:w="2308" w:type="dxa"/>
            <w:tcBorders>
              <w:top w:val="nil"/>
              <w:bottom w:val="nil"/>
            </w:tcBorders>
            <w:vAlign w:val="center"/>
          </w:tcPr>
          <w:p w14:paraId="50A449EE" w14:textId="77777777" w:rsidR="007F203C" w:rsidRPr="008F5963" w:rsidRDefault="00206481" w:rsidP="008F5963">
            <w:pPr>
              <w:pStyle w:val="REG-P0"/>
              <w:jc w:val="center"/>
            </w:pPr>
            <w:r w:rsidRPr="008F5963">
              <w:t>50%</w:t>
            </w:r>
          </w:p>
        </w:tc>
      </w:tr>
      <w:tr w:rsidR="00271040" w14:paraId="3CA2F692" w14:textId="77777777" w:rsidTr="005A33D4">
        <w:trPr>
          <w:trHeight w:val="465"/>
        </w:trPr>
        <w:tc>
          <w:tcPr>
            <w:tcW w:w="2015" w:type="dxa"/>
            <w:tcBorders>
              <w:top w:val="nil"/>
            </w:tcBorders>
            <w:vAlign w:val="center"/>
          </w:tcPr>
          <w:p w14:paraId="42F5EC57" w14:textId="77777777" w:rsidR="007F203C" w:rsidRPr="008F5963" w:rsidRDefault="00206481" w:rsidP="008F5963">
            <w:pPr>
              <w:pStyle w:val="REG-P0"/>
              <w:jc w:val="center"/>
            </w:pPr>
            <w:r w:rsidRPr="008F5963">
              <w:t>4</w:t>
            </w:r>
          </w:p>
        </w:tc>
        <w:tc>
          <w:tcPr>
            <w:tcW w:w="2433" w:type="dxa"/>
            <w:tcBorders>
              <w:top w:val="nil"/>
            </w:tcBorders>
            <w:vAlign w:val="center"/>
          </w:tcPr>
          <w:p w14:paraId="6F78A42A" w14:textId="77777777" w:rsidR="007F203C" w:rsidRPr="008F5963" w:rsidRDefault="00206481" w:rsidP="008F5963">
            <w:pPr>
              <w:pStyle w:val="REG-P0"/>
              <w:jc w:val="center"/>
            </w:pPr>
            <w:r w:rsidRPr="008F5963">
              <w:t>50%</w:t>
            </w:r>
          </w:p>
        </w:tc>
        <w:tc>
          <w:tcPr>
            <w:tcW w:w="2308" w:type="dxa"/>
            <w:tcBorders>
              <w:top w:val="nil"/>
            </w:tcBorders>
            <w:vAlign w:val="center"/>
          </w:tcPr>
          <w:p w14:paraId="023EC1F1" w14:textId="77777777" w:rsidR="007F203C" w:rsidRPr="008F5963" w:rsidRDefault="00206481" w:rsidP="008F5963">
            <w:pPr>
              <w:pStyle w:val="REG-P0"/>
              <w:jc w:val="center"/>
            </w:pPr>
            <w:r w:rsidRPr="008F5963">
              <w:t>100%</w:t>
            </w:r>
          </w:p>
        </w:tc>
      </w:tr>
    </w:tbl>
    <w:p w14:paraId="52DA0579" w14:textId="77777777" w:rsidR="007F203C" w:rsidRDefault="007F203C" w:rsidP="007F203C">
      <w:pPr>
        <w:pStyle w:val="BodyText"/>
        <w:spacing w:before="10"/>
        <w:rPr>
          <w:sz w:val="23"/>
        </w:rPr>
      </w:pPr>
    </w:p>
    <w:p w14:paraId="1110D9E9" w14:textId="77777777" w:rsidR="007F203C" w:rsidRPr="008F5963" w:rsidRDefault="00206481" w:rsidP="008F5963">
      <w:pPr>
        <w:pStyle w:val="REG-Pa"/>
      </w:pPr>
      <w:r>
        <w:t>(b)</w:t>
      </w:r>
      <w:r>
        <w:tab/>
      </w:r>
      <w:r w:rsidRPr="008F5963">
        <w:t>Notwithstanding subparagraph (a), the apportionment of fees to the stages may be adjusted in negotiations with the client.</w:t>
      </w:r>
    </w:p>
    <w:p w14:paraId="4E848926" w14:textId="77777777" w:rsidR="007F203C" w:rsidRPr="008F5963" w:rsidRDefault="007F203C" w:rsidP="008F5963">
      <w:pPr>
        <w:pStyle w:val="REG-Pa"/>
      </w:pPr>
    </w:p>
    <w:p w14:paraId="4D8E57E9" w14:textId="77777777" w:rsidR="007F203C" w:rsidRPr="008F5963" w:rsidRDefault="00206481" w:rsidP="008F5963">
      <w:pPr>
        <w:pStyle w:val="REG-Pa"/>
      </w:pPr>
      <w:r>
        <w:t>(c)</w:t>
      </w:r>
      <w:r>
        <w:tab/>
      </w:r>
      <w:r w:rsidRPr="008F5963">
        <w:t>Subject to subparagraph (4), the remuneration of the architect for the standard services rendered in terms of subparagraphs (1) and (2) shall, unless otherwise agreed with the client, become due on submission of a fee invoice at completion of each stage, apportioned as recommended in subparagraph (a).</w:t>
      </w:r>
    </w:p>
    <w:p w14:paraId="68CF6F11" w14:textId="77777777" w:rsidR="007F203C" w:rsidRPr="008F5963" w:rsidRDefault="007F203C" w:rsidP="008F5963">
      <w:pPr>
        <w:pStyle w:val="REG-P0"/>
      </w:pPr>
    </w:p>
    <w:p w14:paraId="78E4CED1" w14:textId="77777777" w:rsidR="007F203C" w:rsidRDefault="00206481" w:rsidP="005A33D4">
      <w:pPr>
        <w:pStyle w:val="REG-Pa"/>
      </w:pPr>
      <w:r>
        <w:t>(4)</w:t>
      </w:r>
      <w:r>
        <w:tab/>
      </w:r>
      <w:r w:rsidRPr="008F5963">
        <w:t>(a)</w:t>
      </w:r>
      <w:r>
        <w:tab/>
      </w:r>
      <w:r w:rsidRPr="008F5963">
        <w:t xml:space="preserve">Unless otherwise agreed with the client, where an architect is appointed to render </w:t>
      </w:r>
      <w:r w:rsidRPr="008F5963">
        <w:rPr>
          <w:b/>
        </w:rPr>
        <w:t>a partial standard service only, in respect of repeated buildings</w:t>
      </w:r>
      <w:r w:rsidRPr="008F5963">
        <w:t>, the fee, subject to subparagraph (b), shall be the percentage relevant to each work stage, based on the cost of the works and calculated in accordance with subparagraph (1) or (2), as the case may be.</w:t>
      </w:r>
    </w:p>
    <w:p w14:paraId="7CDF1A7D" w14:textId="77777777" w:rsidR="008F5963" w:rsidRDefault="008F5963" w:rsidP="008F5963">
      <w:pPr>
        <w:pStyle w:val="REG-P1"/>
      </w:pPr>
    </w:p>
    <w:p w14:paraId="16082346" w14:textId="77777777" w:rsidR="007F203C" w:rsidRPr="008F5963" w:rsidRDefault="00206481" w:rsidP="008F5963">
      <w:pPr>
        <w:pStyle w:val="REG-Pa"/>
      </w:pPr>
      <w:r w:rsidRPr="008F5963">
        <w:t>(b)</w:t>
      </w:r>
      <w:r w:rsidR="008F5963">
        <w:tab/>
      </w:r>
      <w:r w:rsidRPr="008F5963">
        <w:t>Unless otherwise agreed with the client, where an architect is appointed to take over work from another person previously commissioned for such work at any stage after stage one has been completed, the fee for the first subsequent stage shall be increased by 15%.</w:t>
      </w:r>
    </w:p>
    <w:p w14:paraId="513E03A1" w14:textId="77777777" w:rsidR="007F203C" w:rsidRPr="008F5963" w:rsidRDefault="007F203C" w:rsidP="008F5963">
      <w:pPr>
        <w:pStyle w:val="REG-P0"/>
      </w:pPr>
    </w:p>
    <w:p w14:paraId="531E111A" w14:textId="77777777" w:rsidR="008F5963" w:rsidRPr="008F5963" w:rsidRDefault="00206481" w:rsidP="008F5963">
      <w:pPr>
        <w:pStyle w:val="REG-P0"/>
        <w:rPr>
          <w:b/>
        </w:rPr>
      </w:pPr>
      <w:r w:rsidRPr="008F5963">
        <w:rPr>
          <w:b/>
        </w:rPr>
        <w:t>Termination or deferment:</w:t>
      </w:r>
    </w:p>
    <w:p w14:paraId="4382F593" w14:textId="77777777" w:rsidR="008F5963" w:rsidRDefault="008F5963" w:rsidP="008F5963">
      <w:pPr>
        <w:pStyle w:val="REG-P0"/>
      </w:pPr>
    </w:p>
    <w:p w14:paraId="1213EE28" w14:textId="77777777" w:rsidR="008F5963" w:rsidRPr="008F5963" w:rsidRDefault="00206481" w:rsidP="008F5963">
      <w:pPr>
        <w:pStyle w:val="REG-P1"/>
      </w:pPr>
      <w:r>
        <w:rPr>
          <w:b/>
        </w:rPr>
        <w:t>10.</w:t>
      </w:r>
      <w:r>
        <w:rPr>
          <w:b/>
        </w:rPr>
        <w:tab/>
      </w:r>
      <w:r w:rsidRPr="008F5963">
        <w:t>(1)</w:t>
      </w:r>
      <w:r>
        <w:tab/>
      </w:r>
      <w:r w:rsidRPr="008F5963">
        <w:t>Should the whole or any part of the works be terminated or deferred after completion</w:t>
      </w:r>
      <w:r w:rsidR="00203548">
        <w:t xml:space="preserve"> of work stage 4, the architect’</w:t>
      </w:r>
      <w:r w:rsidRPr="008F5963">
        <w:t>s fee shall be calculated in accordance with the appropriate fee scale and its apportionment in accordance with paragraph 7(1) or paragraph 9(3), as the case may be.</w:t>
      </w:r>
    </w:p>
    <w:p w14:paraId="21A441A2" w14:textId="77777777" w:rsidR="008F5963" w:rsidRPr="008F5963" w:rsidRDefault="008F5963" w:rsidP="008F5963">
      <w:pPr>
        <w:pStyle w:val="REG-P1"/>
      </w:pPr>
    </w:p>
    <w:p w14:paraId="3576BA2C" w14:textId="77777777" w:rsidR="008F5963" w:rsidRPr="008F5963" w:rsidRDefault="00206481" w:rsidP="008F5963">
      <w:pPr>
        <w:pStyle w:val="REG-P1"/>
      </w:pPr>
      <w:r>
        <w:t>(2)</w:t>
      </w:r>
      <w:r>
        <w:tab/>
      </w:r>
      <w:r w:rsidRPr="008F5963">
        <w:t>Should the whole or any part of the works be terminated or deferred at any work stage up to and includ</w:t>
      </w:r>
      <w:r w:rsidR="00203548">
        <w:t>ing work stage 3, the architect’</w:t>
      </w:r>
      <w:r w:rsidRPr="008F5963">
        <w:t>s fee shall be the sum of -</w:t>
      </w:r>
    </w:p>
    <w:p w14:paraId="26D0E70E" w14:textId="77777777" w:rsidR="008F5963" w:rsidRPr="008F5963" w:rsidRDefault="008F5963" w:rsidP="008F5963">
      <w:pPr>
        <w:pStyle w:val="REG-P1"/>
      </w:pPr>
    </w:p>
    <w:p w14:paraId="373CB8FC" w14:textId="77777777" w:rsidR="008F5963" w:rsidRPr="008F5963" w:rsidRDefault="00206481" w:rsidP="008F5963">
      <w:pPr>
        <w:pStyle w:val="REG-Pa"/>
      </w:pPr>
      <w:r>
        <w:t>(a)</w:t>
      </w:r>
      <w:r>
        <w:tab/>
      </w:r>
      <w:r w:rsidRPr="008F5963">
        <w:t>the fee calculated in accordance with the appropriate fee scale and its apportionment in accordance with paragraph 7(1) or paragraph 9(3), as the case may be; and</w:t>
      </w:r>
    </w:p>
    <w:p w14:paraId="2F917E87" w14:textId="77777777" w:rsidR="008F5963" w:rsidRPr="008F5963" w:rsidRDefault="008F5963" w:rsidP="008F5963">
      <w:pPr>
        <w:pStyle w:val="REG-Pa"/>
      </w:pPr>
    </w:p>
    <w:p w14:paraId="7BAFD8DB" w14:textId="77777777" w:rsidR="008F5963" w:rsidRPr="008F5963" w:rsidRDefault="00206481" w:rsidP="008F5963">
      <w:pPr>
        <w:pStyle w:val="REG-Pa"/>
      </w:pPr>
      <w:r>
        <w:t>(b)</w:t>
      </w:r>
      <w:r>
        <w:tab/>
      </w:r>
      <w:r w:rsidRPr="008F5963">
        <w:t>a surcharge equal to such losses and expenses as may have been caused by such termination or deferment as can be substantiated by the architect but excluding future profits, where the termination or deferment is due to causes not attributable to the architect.</w:t>
      </w:r>
    </w:p>
    <w:p w14:paraId="241F4544" w14:textId="77777777" w:rsidR="008F5963" w:rsidRDefault="008F5963" w:rsidP="008F5963">
      <w:pPr>
        <w:pStyle w:val="REG-P0"/>
      </w:pPr>
    </w:p>
    <w:p w14:paraId="5EB11758" w14:textId="77777777" w:rsidR="008F5963" w:rsidRPr="008F5963" w:rsidRDefault="00206481" w:rsidP="008F5963">
      <w:pPr>
        <w:pStyle w:val="REG-P1"/>
      </w:pPr>
      <w:r>
        <w:t>(3)</w:t>
      </w:r>
      <w:r>
        <w:tab/>
      </w:r>
      <w:r w:rsidRPr="008F5963">
        <w:t>Should the works be reinstated or resumed without significant change within a period of one year from the date of termination or deferment, the fee paid in accordance with subparagraph (1) or (2), excluding any surcharge, shall be considered to be partial payment of the fee calculated on the cost of the works.</w:t>
      </w:r>
    </w:p>
    <w:p w14:paraId="4AD97C69" w14:textId="77777777" w:rsidR="008F5963" w:rsidRPr="008F5963" w:rsidRDefault="008F5963" w:rsidP="008F5963">
      <w:pPr>
        <w:pStyle w:val="REG-P1"/>
      </w:pPr>
    </w:p>
    <w:p w14:paraId="1486A223" w14:textId="77777777" w:rsidR="008F5963" w:rsidRPr="008F5963" w:rsidRDefault="00206481" w:rsidP="008F5963">
      <w:pPr>
        <w:pStyle w:val="REG-P1"/>
      </w:pPr>
      <w:r>
        <w:t>(4)</w:t>
      </w:r>
      <w:r>
        <w:tab/>
      </w:r>
      <w:r w:rsidRPr="008F5963">
        <w:t>Should works be reinstated or resumed without significant change after a period of one year and within a period of three years from the date of termination or deferment</w:t>
      </w:r>
      <w:r w:rsidR="0003275B">
        <w:t>, no fee shall be charged for fl</w:t>
      </w:r>
      <w:r w:rsidRPr="008F5963">
        <w:t>uctuations in building cost during the period of termination or deferment in respect of completed work stages, and the balance of the fee due shall be calculated on the cost of the works.</w:t>
      </w:r>
    </w:p>
    <w:p w14:paraId="0C06D1F7" w14:textId="77777777" w:rsidR="008F5963" w:rsidRPr="008F5963" w:rsidRDefault="008F5963" w:rsidP="008F5963">
      <w:pPr>
        <w:pStyle w:val="REG-P1"/>
      </w:pPr>
    </w:p>
    <w:p w14:paraId="7CB19B83" w14:textId="77777777" w:rsidR="008F5963" w:rsidRPr="008F5963" w:rsidRDefault="00206481" w:rsidP="008F5963">
      <w:pPr>
        <w:pStyle w:val="REG-P1"/>
      </w:pPr>
      <w:r>
        <w:t>(5)</w:t>
      </w:r>
      <w:r>
        <w:tab/>
      </w:r>
      <w:r w:rsidRPr="008F5963">
        <w:t>Should the works be reinstated after a period of three years, the project shall be considered to be a new commission.</w:t>
      </w:r>
    </w:p>
    <w:p w14:paraId="44A7E5ED" w14:textId="77777777" w:rsidR="008F5963" w:rsidRPr="008F5963" w:rsidRDefault="008F5963" w:rsidP="008F5963">
      <w:pPr>
        <w:pStyle w:val="REG-P0"/>
      </w:pPr>
    </w:p>
    <w:p w14:paraId="782CA051" w14:textId="77777777" w:rsidR="008F5963" w:rsidRPr="008F5963" w:rsidRDefault="00206481" w:rsidP="008F5963">
      <w:pPr>
        <w:pStyle w:val="REG-P1"/>
      </w:pPr>
      <w:r>
        <w:t>(6)</w:t>
      </w:r>
      <w:r>
        <w:tab/>
      </w:r>
      <w:r w:rsidRPr="008F5963">
        <w:t>Should additional services by the architect be required in connection with the resumption of the deferred works, the architect shall charge for such additional services on a time basis determined in accordance with Annexure 2.</w:t>
      </w:r>
    </w:p>
    <w:p w14:paraId="630F40DB" w14:textId="77777777" w:rsidR="008F5963" w:rsidRPr="008F5963" w:rsidRDefault="008F5963" w:rsidP="008F5963">
      <w:pPr>
        <w:pStyle w:val="REG-P1"/>
      </w:pPr>
    </w:p>
    <w:p w14:paraId="5B37EE18" w14:textId="77777777" w:rsidR="008F5963" w:rsidRPr="008F5963" w:rsidRDefault="00206481" w:rsidP="008F5963">
      <w:pPr>
        <w:pStyle w:val="REG-P1"/>
      </w:pPr>
      <w:r>
        <w:t>(7)</w:t>
      </w:r>
      <w:r>
        <w:tab/>
      </w:r>
      <w:r w:rsidRPr="008F5963">
        <w:t>The works, or any part thereof, shall be considered as having been terminated -</w:t>
      </w:r>
    </w:p>
    <w:p w14:paraId="0BB5F513" w14:textId="77777777" w:rsidR="008F5963" w:rsidRPr="008F5963" w:rsidRDefault="008F5963" w:rsidP="008F5963">
      <w:pPr>
        <w:pStyle w:val="REG-P0"/>
      </w:pPr>
    </w:p>
    <w:p w14:paraId="5E879206" w14:textId="77777777" w:rsidR="008F5963" w:rsidRPr="008F5963" w:rsidRDefault="00206481" w:rsidP="008F5963">
      <w:pPr>
        <w:pStyle w:val="REG-Pa"/>
      </w:pPr>
      <w:r>
        <w:t>(a)</w:t>
      </w:r>
      <w:r>
        <w:tab/>
      </w:r>
      <w:r w:rsidRPr="008F5963">
        <w:t>where the proj</w:t>
      </w:r>
      <w:r w:rsidR="0003275B">
        <w:t>ect is terminated on the client’</w:t>
      </w:r>
      <w:r w:rsidRPr="008F5963">
        <w:t>s instructions or the architect</w:t>
      </w:r>
      <w:r>
        <w:t xml:space="preserve"> </w:t>
      </w:r>
      <w:r w:rsidRPr="008F5963">
        <w:t>is instructed by the client to stop work indefinitely at any time;</w:t>
      </w:r>
    </w:p>
    <w:p w14:paraId="11F9CBE5" w14:textId="77777777" w:rsidR="008F5963" w:rsidRPr="008F5963" w:rsidRDefault="008F5963" w:rsidP="008F5963">
      <w:pPr>
        <w:pStyle w:val="REG-Pa"/>
      </w:pPr>
    </w:p>
    <w:p w14:paraId="370FD042" w14:textId="77777777" w:rsidR="008F5963" w:rsidRPr="008F5963" w:rsidRDefault="00206481" w:rsidP="008F5963">
      <w:pPr>
        <w:pStyle w:val="REG-Pa"/>
      </w:pPr>
      <w:r>
        <w:t>(b)</w:t>
      </w:r>
      <w:r>
        <w:tab/>
      </w:r>
      <w:r w:rsidRPr="008F5963">
        <w:t>if deferred or delayed for a period of longer than one year; or</w:t>
      </w:r>
    </w:p>
    <w:p w14:paraId="74B53310" w14:textId="77777777" w:rsidR="008F5963" w:rsidRPr="008F5963" w:rsidRDefault="008F5963" w:rsidP="008F5963">
      <w:pPr>
        <w:pStyle w:val="REG-Pa"/>
      </w:pPr>
    </w:p>
    <w:p w14:paraId="6674EAC4" w14:textId="77777777" w:rsidR="008F5963" w:rsidRPr="008F5963" w:rsidRDefault="00206481" w:rsidP="008F5963">
      <w:pPr>
        <w:pStyle w:val="REG-Pa"/>
      </w:pPr>
      <w:r>
        <w:t>(c)</w:t>
      </w:r>
      <w:r>
        <w:tab/>
      </w:r>
      <w:r w:rsidRPr="008F5963">
        <w:t>if instructions necessary for the architect to continue work are not received from the client within six months after such instructions are requested.</w:t>
      </w:r>
    </w:p>
    <w:p w14:paraId="2E5F4815" w14:textId="77777777" w:rsidR="008F5963" w:rsidRPr="008F5963" w:rsidRDefault="008F5963" w:rsidP="008F5963">
      <w:pPr>
        <w:pStyle w:val="REG-P0"/>
      </w:pPr>
    </w:p>
    <w:p w14:paraId="185D102B" w14:textId="77777777" w:rsidR="008F5963" w:rsidRPr="008F5963" w:rsidRDefault="00206481" w:rsidP="008F5963">
      <w:pPr>
        <w:pStyle w:val="REG-P1"/>
      </w:pPr>
      <w:r>
        <w:t>(8)</w:t>
      </w:r>
      <w:r>
        <w:tab/>
      </w:r>
      <w:r w:rsidRPr="008F5963">
        <w:t>For the purposes of this paragraph, the cost of the works shall be the mutually agreed estimate of the cost of the relevant part of the works. Such estimated value shall exclude any allowances in respect of contingencies, contract price adjustments, plant and equipment.</w:t>
      </w:r>
    </w:p>
    <w:p w14:paraId="4542007C" w14:textId="77777777" w:rsidR="007F203C" w:rsidRPr="00584F93" w:rsidRDefault="007F203C" w:rsidP="00584F93">
      <w:pPr>
        <w:pStyle w:val="REG-P0"/>
      </w:pPr>
    </w:p>
    <w:p w14:paraId="10197E19" w14:textId="77777777" w:rsidR="00584F93" w:rsidRDefault="00206481" w:rsidP="00584F93">
      <w:pPr>
        <w:pStyle w:val="REG-P0"/>
        <w:rPr>
          <w:b/>
        </w:rPr>
      </w:pPr>
      <w:r w:rsidRPr="00584F93">
        <w:rPr>
          <w:b/>
        </w:rPr>
        <w:t>Termination of engagement:</w:t>
      </w:r>
    </w:p>
    <w:p w14:paraId="3D0751E2" w14:textId="77777777" w:rsidR="00584F93" w:rsidRDefault="00584F93" w:rsidP="00584F93">
      <w:pPr>
        <w:pStyle w:val="REG-P0"/>
        <w:rPr>
          <w:b/>
        </w:rPr>
      </w:pPr>
    </w:p>
    <w:p w14:paraId="5CDD2BE8" w14:textId="77777777" w:rsidR="00584F93" w:rsidRPr="00584F93" w:rsidRDefault="00206481" w:rsidP="00584F93">
      <w:pPr>
        <w:pStyle w:val="REG-P1"/>
      </w:pPr>
      <w:r w:rsidRPr="00584F93">
        <w:t>(</w:t>
      </w:r>
      <w:r>
        <w:t>1</w:t>
      </w:r>
      <w:r w:rsidRPr="00584F93">
        <w:t>)</w:t>
      </w:r>
      <w:r>
        <w:tab/>
      </w:r>
      <w:r w:rsidRPr="00584F93">
        <w:t xml:space="preserve">In the event of the agreement between the client and the architect being terminated by either party for reasons not attributable to the architect, the client shall pay the architect for that portion of the work which has been executed, in accordance with paragraph </w:t>
      </w:r>
      <w:r>
        <w:t>1</w:t>
      </w:r>
      <w:r w:rsidRPr="00584F93">
        <w:t>0.</w:t>
      </w:r>
    </w:p>
    <w:p w14:paraId="2BEA5732" w14:textId="77777777" w:rsidR="00584F93" w:rsidRPr="00584F93" w:rsidRDefault="00584F93" w:rsidP="00584F93">
      <w:pPr>
        <w:pStyle w:val="REG-P1"/>
      </w:pPr>
    </w:p>
    <w:p w14:paraId="581FF2ED" w14:textId="77777777" w:rsidR="00584F93" w:rsidRPr="00584F93" w:rsidRDefault="00206481" w:rsidP="00584F93">
      <w:pPr>
        <w:pStyle w:val="REG-P1"/>
      </w:pPr>
      <w:r w:rsidRPr="00584F93">
        <w:t>(2)</w:t>
      </w:r>
      <w:r>
        <w:tab/>
      </w:r>
      <w:r w:rsidRPr="00584F93">
        <w:t>If the project is terminated or abandoned for any reason, the cost of the works on which the fee is calculated shall not exceed any cost limit which the architect may have agreed with the client.</w:t>
      </w:r>
    </w:p>
    <w:p w14:paraId="5CB75F2A" w14:textId="77777777" w:rsidR="00584F93" w:rsidRDefault="00584F93" w:rsidP="00584F93">
      <w:pPr>
        <w:pStyle w:val="REG-P0"/>
        <w:rPr>
          <w:sz w:val="24"/>
        </w:rPr>
      </w:pPr>
    </w:p>
    <w:p w14:paraId="01CAABC6" w14:textId="77777777" w:rsidR="00584F93" w:rsidRPr="00584F93" w:rsidRDefault="00206481" w:rsidP="00584F93">
      <w:pPr>
        <w:pStyle w:val="REG-P0"/>
        <w:rPr>
          <w:b/>
        </w:rPr>
      </w:pPr>
      <w:r w:rsidRPr="00584F93">
        <w:rPr>
          <w:b/>
        </w:rPr>
        <w:t>Damage to or destruction of works:</w:t>
      </w:r>
    </w:p>
    <w:p w14:paraId="572C726A" w14:textId="77777777" w:rsidR="00584F93" w:rsidRDefault="00584F93" w:rsidP="00584F93">
      <w:pPr>
        <w:pStyle w:val="REG-P0"/>
      </w:pPr>
    </w:p>
    <w:p w14:paraId="5F2E4225" w14:textId="77777777" w:rsidR="00584F93" w:rsidRPr="00584F93" w:rsidRDefault="00206481" w:rsidP="00584F93">
      <w:pPr>
        <w:pStyle w:val="REG-P1"/>
      </w:pPr>
      <w:r>
        <w:rPr>
          <w:b/>
        </w:rPr>
        <w:t>12.</w:t>
      </w:r>
      <w:r>
        <w:rPr>
          <w:b/>
        </w:rPr>
        <w:tab/>
      </w:r>
      <w:r w:rsidRPr="00584F93">
        <w:t>(</w:t>
      </w:r>
      <w:r>
        <w:t>1</w:t>
      </w:r>
      <w:r w:rsidRPr="00584F93">
        <w:t>)</w:t>
      </w:r>
      <w:r>
        <w:tab/>
      </w:r>
      <w:r w:rsidRPr="00584F93">
        <w:t>If the works or any part thereof is damaged or destroyed by operations of war, fire, storm, flood or other causes at any time before completion of the works, and the works are re-instated, the client shall pay the architect an additional fee to be determined in accordance with the nature and scope of the professional services rendered, for example -</w:t>
      </w:r>
    </w:p>
    <w:p w14:paraId="0CAC7D08" w14:textId="77777777" w:rsidR="00584F93" w:rsidRPr="00584F93" w:rsidRDefault="00584F93" w:rsidP="00584F93">
      <w:pPr>
        <w:pStyle w:val="REG-P0"/>
      </w:pPr>
    </w:p>
    <w:p w14:paraId="50454B7C" w14:textId="77777777" w:rsidR="00584F93" w:rsidRPr="00584F93" w:rsidRDefault="00206481" w:rsidP="00584F93">
      <w:pPr>
        <w:pStyle w:val="REG-Pa"/>
      </w:pPr>
      <w:r>
        <w:t>(a)</w:t>
      </w:r>
      <w:r>
        <w:tab/>
      </w:r>
      <w:r w:rsidRPr="00584F93">
        <w:t>if the damage is of a nature requiring the rebuilding of the project, the</w:t>
      </w:r>
      <w:r>
        <w:t xml:space="preserve"> </w:t>
      </w:r>
      <w:r w:rsidRPr="00584F93">
        <w:t xml:space="preserve">fee shall be determined on a </w:t>
      </w:r>
      <w:r w:rsidRPr="00584F93">
        <w:rPr>
          <w:i/>
        </w:rPr>
        <w:t>quantum meruit</w:t>
      </w:r>
      <w:r w:rsidRPr="00584F93">
        <w:t xml:space="preserve"> basis only in so far as new</w:t>
      </w:r>
      <w:r>
        <w:t xml:space="preserve"> </w:t>
      </w:r>
      <w:r w:rsidRPr="00584F93">
        <w:t>documentation may be required, and full fees shall be charged for the additional inspection and administration;</w:t>
      </w:r>
    </w:p>
    <w:p w14:paraId="0D6DBB00" w14:textId="77777777" w:rsidR="00584F93" w:rsidRPr="00584F93" w:rsidRDefault="00584F93" w:rsidP="00584F93">
      <w:pPr>
        <w:pStyle w:val="REG-Pa"/>
      </w:pPr>
    </w:p>
    <w:p w14:paraId="45ABB881" w14:textId="77777777" w:rsidR="00584F93" w:rsidRPr="00584F93" w:rsidRDefault="00206481" w:rsidP="00584F93">
      <w:pPr>
        <w:pStyle w:val="REG-Pa"/>
      </w:pPr>
      <w:r>
        <w:t>(b)</w:t>
      </w:r>
      <w:r>
        <w:tab/>
      </w:r>
      <w:r w:rsidRPr="00584F93">
        <w:t>in complex cases where the additional work cannot be readily defined. the architect shall be remunerated on a time basis in accordance with Annexure 2.</w:t>
      </w:r>
    </w:p>
    <w:p w14:paraId="67D20DF8" w14:textId="77777777" w:rsidR="00584F93" w:rsidRPr="00584F93" w:rsidRDefault="00584F93" w:rsidP="00584F93">
      <w:pPr>
        <w:pStyle w:val="REG-P0"/>
      </w:pPr>
    </w:p>
    <w:p w14:paraId="006ECC86" w14:textId="77777777" w:rsidR="00584F93" w:rsidRPr="00584F93" w:rsidRDefault="00206481" w:rsidP="00584F93">
      <w:pPr>
        <w:pStyle w:val="REG-P0"/>
        <w:rPr>
          <w:b/>
        </w:rPr>
      </w:pPr>
      <w:r w:rsidRPr="00584F93">
        <w:rPr>
          <w:b/>
        </w:rPr>
        <w:t>Escalation:</w:t>
      </w:r>
    </w:p>
    <w:p w14:paraId="35A8D399" w14:textId="77777777" w:rsidR="00584F93" w:rsidRPr="00584F93" w:rsidRDefault="00584F93" w:rsidP="00584F93">
      <w:pPr>
        <w:pStyle w:val="REG-P0"/>
      </w:pPr>
    </w:p>
    <w:p w14:paraId="28CA60C9" w14:textId="77777777" w:rsidR="00584F93" w:rsidRPr="00584F93" w:rsidRDefault="00206481" w:rsidP="00584F93">
      <w:pPr>
        <w:pStyle w:val="REG-P1"/>
      </w:pPr>
      <w:r>
        <w:rPr>
          <w:b/>
        </w:rPr>
        <w:t>13.</w:t>
      </w:r>
      <w:r>
        <w:rPr>
          <w:b/>
        </w:rPr>
        <w:tab/>
      </w:r>
      <w:r w:rsidRPr="00584F93">
        <w:t>(</w:t>
      </w:r>
      <w:r>
        <w:t>1</w:t>
      </w:r>
      <w:r w:rsidRPr="00584F93">
        <w:t>)</w:t>
      </w:r>
      <w:r>
        <w:tab/>
      </w:r>
      <w:r w:rsidRPr="00584F93">
        <w:t>Where all the professional services defined up to stage</w:t>
      </w:r>
      <w:r>
        <w:t xml:space="preserve"> </w:t>
      </w:r>
      <w:r w:rsidRPr="00584F93">
        <w:t>4 have been completed prior to the commencement of the works, the architect shall be paid a fee equal to 75 per cent of the standard services fee calculated on the amount of the accepted tender, excluding any contingency sum or any provisional amounts which may have been allowed in the tender for escalation, or, if the building contract is awarded by negotiation, the negotiated price, or, if no tender is accepted, the estimated cost of the project at current market prices as determined by a quantity surveyor,  or, in the event of no quantity surveyor having been appointed, the estimated cost as determined by the architect.</w:t>
      </w:r>
    </w:p>
    <w:p w14:paraId="76EFD9E8" w14:textId="77777777" w:rsidR="00584F93" w:rsidRPr="00584F93" w:rsidRDefault="00584F93" w:rsidP="00584F93">
      <w:pPr>
        <w:pStyle w:val="REG-P1"/>
      </w:pPr>
    </w:p>
    <w:p w14:paraId="6A877FC8" w14:textId="77777777" w:rsidR="00584F93" w:rsidRPr="00584F93" w:rsidRDefault="00206481" w:rsidP="00584F93">
      <w:pPr>
        <w:pStyle w:val="REG-P1"/>
      </w:pPr>
      <w:r>
        <w:t>(2)</w:t>
      </w:r>
      <w:r>
        <w:tab/>
      </w:r>
      <w:r w:rsidRPr="00584F93">
        <w:t>The fee so calculated shall not be subject to subsequent adjustment as a consequence of inflation or deflation, but additional work or changes in the original documentation shall be charged for at the relevant percentage fee based on costs prevailing at the time when the work is done or changes are made, or based on a time basis, whichever is applicable in the circumstances.</w:t>
      </w:r>
    </w:p>
    <w:p w14:paraId="6B3E0813" w14:textId="77777777" w:rsidR="00584F93" w:rsidRPr="00584F93" w:rsidRDefault="00584F93" w:rsidP="00584F93">
      <w:pPr>
        <w:pStyle w:val="REG-P1"/>
      </w:pPr>
    </w:p>
    <w:p w14:paraId="45C8BABC" w14:textId="77777777" w:rsidR="00584F93" w:rsidRPr="00584F93" w:rsidRDefault="00206481" w:rsidP="00584F93">
      <w:pPr>
        <w:pStyle w:val="REG-P1"/>
      </w:pPr>
      <w:r>
        <w:t>(3)</w:t>
      </w:r>
      <w:r>
        <w:tab/>
      </w:r>
      <w:r w:rsidRPr="00584F93">
        <w:t>Where all the professional services defined up to stage 4 have been completed prior to the commencement of the works, the architect shall on completion of the works be paid a fee equal to 75 per cent of the standard fee, calculated upon the final cost of the works less the value of escalation since commencement of construction, as certified by the quantity surveyor, plus 25 per cent of the standard services fee calculated upon the final value of the works and any fees due for additional work in terms of subparagraph (2), if applicable.</w:t>
      </w:r>
    </w:p>
    <w:p w14:paraId="40B0A5A0" w14:textId="77777777" w:rsidR="00584F93" w:rsidRPr="00584F93" w:rsidRDefault="00584F93" w:rsidP="00584F93">
      <w:pPr>
        <w:pStyle w:val="REG-P1"/>
      </w:pPr>
    </w:p>
    <w:p w14:paraId="53CEB11B" w14:textId="77777777" w:rsidR="00584F93" w:rsidRPr="00584F93" w:rsidRDefault="00206481" w:rsidP="00584F93">
      <w:pPr>
        <w:pStyle w:val="REG-P1"/>
      </w:pPr>
      <w:r>
        <w:t>(4)</w:t>
      </w:r>
      <w:r>
        <w:tab/>
      </w:r>
      <w:r w:rsidRPr="00584F93">
        <w:t>In the event of all the professional services defined up to stage 4 not having been completed prior to the commencement of the works, a percentage completion status shall be agreed upon between the client and the architect, and fees on the balance of the professional services shall be based on the final cost of the works.</w:t>
      </w:r>
    </w:p>
    <w:p w14:paraId="3B6D4BAD" w14:textId="77777777" w:rsidR="00584F93" w:rsidRDefault="00584F93" w:rsidP="00584F93">
      <w:pPr>
        <w:pStyle w:val="REG-P0"/>
        <w:rPr>
          <w:sz w:val="23"/>
        </w:rPr>
      </w:pPr>
    </w:p>
    <w:p w14:paraId="6AFCF0C8" w14:textId="77777777" w:rsidR="00584F93" w:rsidRPr="00584F93" w:rsidRDefault="00206481" w:rsidP="00584F93">
      <w:pPr>
        <w:pStyle w:val="REG-P0"/>
        <w:rPr>
          <w:b/>
        </w:rPr>
      </w:pPr>
      <w:r w:rsidRPr="00584F93">
        <w:rPr>
          <w:b/>
        </w:rPr>
        <w:t>Time Charges</w:t>
      </w:r>
    </w:p>
    <w:p w14:paraId="04AE06B2" w14:textId="77777777" w:rsidR="00584F93" w:rsidRPr="00584F93" w:rsidRDefault="00584F93" w:rsidP="00584F93">
      <w:pPr>
        <w:pStyle w:val="REG-P0"/>
      </w:pPr>
    </w:p>
    <w:p w14:paraId="23438CA5" w14:textId="77777777" w:rsidR="00584F93" w:rsidRPr="00584F93" w:rsidRDefault="00206481" w:rsidP="00584F93">
      <w:pPr>
        <w:pStyle w:val="REG-P1"/>
      </w:pPr>
      <w:r>
        <w:rPr>
          <w:b/>
        </w:rPr>
        <w:t>14.</w:t>
      </w:r>
      <w:r>
        <w:rPr>
          <w:b/>
        </w:rPr>
        <w:tab/>
      </w:r>
      <w:r w:rsidRPr="00584F93">
        <w:t>(1)</w:t>
      </w:r>
      <w:r>
        <w:tab/>
      </w:r>
      <w:r w:rsidRPr="00584F93">
        <w:t xml:space="preserve">The tariff of fees on a time basis in respect of </w:t>
      </w:r>
      <w:r w:rsidRPr="00584F93">
        <w:rPr>
          <w:b/>
        </w:rPr>
        <w:t>hourly rates</w:t>
      </w:r>
      <w:r w:rsidRPr="00584F93">
        <w:t xml:space="preserve"> shall be in accordance with Annexure 2.</w:t>
      </w:r>
    </w:p>
    <w:p w14:paraId="71774F55" w14:textId="77777777" w:rsidR="00584F93" w:rsidRPr="00584F93" w:rsidRDefault="00584F93" w:rsidP="00584F93">
      <w:pPr>
        <w:pStyle w:val="REG-P1"/>
      </w:pPr>
    </w:p>
    <w:p w14:paraId="092B7554" w14:textId="77777777" w:rsidR="00584F93" w:rsidRPr="00584F93" w:rsidRDefault="00206481" w:rsidP="00584F93">
      <w:pPr>
        <w:pStyle w:val="REG-P1"/>
      </w:pPr>
      <w:r>
        <w:t>(2)</w:t>
      </w:r>
      <w:r>
        <w:tab/>
      </w:r>
      <w:r w:rsidRPr="00584F93">
        <w:t>Wh</w:t>
      </w:r>
      <w:r>
        <w:t>e</w:t>
      </w:r>
      <w:r w:rsidRPr="00584F93">
        <w:t>re the distance betw</w:t>
      </w:r>
      <w:r w:rsidR="00695138">
        <w:t>een the works and the architect’</w:t>
      </w:r>
      <w:r w:rsidRPr="00584F93">
        <w:t xml:space="preserve">s place of practice exceeds 25 kilometres, fees in respect of </w:t>
      </w:r>
      <w:r w:rsidRPr="00584F93">
        <w:rPr>
          <w:b/>
        </w:rPr>
        <w:t>travelling time</w:t>
      </w:r>
      <w:r w:rsidRPr="00584F93">
        <w:t xml:space="preserve"> shall be charged at the</w:t>
      </w:r>
      <w:r>
        <w:t xml:space="preserve"> </w:t>
      </w:r>
      <w:r w:rsidRPr="00584F93">
        <w:t>hourly rates set out in Annexure 2.</w:t>
      </w:r>
    </w:p>
    <w:p w14:paraId="6340DE52" w14:textId="77777777" w:rsidR="00584F93" w:rsidRPr="00584F93" w:rsidRDefault="00584F93" w:rsidP="00584F93">
      <w:pPr>
        <w:pStyle w:val="REG-P1"/>
      </w:pPr>
    </w:p>
    <w:p w14:paraId="4A9DE294" w14:textId="77777777" w:rsidR="00584F93" w:rsidRPr="00584F93" w:rsidRDefault="00206481" w:rsidP="00584F93">
      <w:pPr>
        <w:pStyle w:val="REG-P1"/>
      </w:pPr>
      <w:r>
        <w:t>(3)</w:t>
      </w:r>
      <w:r>
        <w:tab/>
      </w:r>
      <w:r w:rsidRPr="00584F93">
        <w:t xml:space="preserve">Where an architect acts as </w:t>
      </w:r>
      <w:r w:rsidRPr="00584F93">
        <w:rPr>
          <w:b/>
        </w:rPr>
        <w:t>arbitrator, mediator or expert witness</w:t>
      </w:r>
      <w:r w:rsidRPr="00584F93">
        <w:t>, the fee shall be at the rates recommended by the Association of Arbitrators.</w:t>
      </w:r>
    </w:p>
    <w:p w14:paraId="260A2C19" w14:textId="77777777" w:rsidR="00584F93" w:rsidRPr="00584F93" w:rsidRDefault="00584F93" w:rsidP="00584F93">
      <w:pPr>
        <w:pStyle w:val="REG-P1"/>
      </w:pPr>
    </w:p>
    <w:p w14:paraId="6F4A76DF" w14:textId="77777777" w:rsidR="00584F93" w:rsidRPr="00584F93" w:rsidRDefault="00206481" w:rsidP="00584F93">
      <w:pPr>
        <w:pStyle w:val="REG-P1"/>
      </w:pPr>
      <w:r>
        <w:t>(4)</w:t>
      </w:r>
      <w:r>
        <w:tab/>
      </w:r>
      <w:r w:rsidRPr="00584F93">
        <w:t xml:space="preserve">Where by agreement with the client, work is to be charged for on a time basis and when a CAD facility is used in the execution of such work, an architect shall be entitled to charge </w:t>
      </w:r>
      <w:r w:rsidRPr="00584F93">
        <w:rPr>
          <w:b/>
        </w:rPr>
        <w:t>computer time</w:t>
      </w:r>
      <w:r w:rsidRPr="00584F93">
        <w:t xml:space="preserve"> at a rate to be agreed with the client.</w:t>
      </w:r>
    </w:p>
    <w:p w14:paraId="16BF4745" w14:textId="77777777" w:rsidR="00584F93" w:rsidRPr="00584F93" w:rsidRDefault="00584F93" w:rsidP="00942C21">
      <w:pPr>
        <w:pStyle w:val="REG-P1"/>
        <w:ind w:firstLine="0"/>
      </w:pPr>
    </w:p>
    <w:p w14:paraId="431DD817" w14:textId="77777777" w:rsidR="00584F93" w:rsidRPr="00584F93" w:rsidRDefault="00206481" w:rsidP="00584F93">
      <w:pPr>
        <w:pStyle w:val="REG-P0"/>
        <w:rPr>
          <w:b/>
        </w:rPr>
      </w:pPr>
      <w:r w:rsidRPr="00584F93">
        <w:rPr>
          <w:b/>
        </w:rPr>
        <w:t>Disbursements</w:t>
      </w:r>
    </w:p>
    <w:p w14:paraId="6AF7C2C5" w14:textId="77777777" w:rsidR="00584F93" w:rsidRPr="00584F93" w:rsidRDefault="00584F93" w:rsidP="00584F93">
      <w:pPr>
        <w:pStyle w:val="REG-P0"/>
      </w:pPr>
    </w:p>
    <w:p w14:paraId="3DF7E64B" w14:textId="77777777" w:rsidR="00584F93" w:rsidRPr="00584F93" w:rsidRDefault="00206481" w:rsidP="00584F93">
      <w:pPr>
        <w:pStyle w:val="REG-P1"/>
      </w:pPr>
      <w:r>
        <w:rPr>
          <w:b/>
        </w:rPr>
        <w:t>15.</w:t>
      </w:r>
      <w:r>
        <w:rPr>
          <w:b/>
        </w:rPr>
        <w:tab/>
      </w:r>
      <w:r w:rsidRPr="00584F93">
        <w:t>(1)</w:t>
      </w:r>
      <w:r>
        <w:tab/>
      </w:r>
      <w:r w:rsidRPr="00584F93">
        <w:t>In addition to the fees payable under any other paragraph, the architect shall be reimbursed for all reasonable disbursements actually and properly incurred in connection with the commission except as may be excluded in terms of prior agreement between the architect and the client.</w:t>
      </w:r>
    </w:p>
    <w:p w14:paraId="6A4AA648" w14:textId="77777777" w:rsidR="00584F93" w:rsidRPr="00584F93" w:rsidRDefault="00584F93" w:rsidP="00584F93">
      <w:pPr>
        <w:pStyle w:val="REG-P1"/>
      </w:pPr>
    </w:p>
    <w:p w14:paraId="4CDA0C98" w14:textId="77777777" w:rsidR="00584F93" w:rsidRPr="00584F93" w:rsidRDefault="00206481" w:rsidP="00584F93">
      <w:pPr>
        <w:pStyle w:val="REG-P1"/>
      </w:pPr>
      <w:r w:rsidRPr="00584F93">
        <w:t>(2)</w:t>
      </w:r>
      <w:r>
        <w:tab/>
      </w:r>
      <w:r w:rsidRPr="00584F93">
        <w:t>The expenses contemplated in subparagraph (1) may include the following:</w:t>
      </w:r>
    </w:p>
    <w:p w14:paraId="64220765" w14:textId="77777777" w:rsidR="00584F93" w:rsidRPr="00584F93" w:rsidRDefault="00584F93" w:rsidP="00584F93">
      <w:pPr>
        <w:pStyle w:val="REG-P0"/>
      </w:pPr>
    </w:p>
    <w:p w14:paraId="0882A847" w14:textId="77777777" w:rsidR="00584F93" w:rsidRPr="00584F93" w:rsidRDefault="00206481" w:rsidP="00584F93">
      <w:pPr>
        <w:pStyle w:val="REG-Pa"/>
      </w:pPr>
      <w:r>
        <w:t>(a)</w:t>
      </w:r>
      <w:r>
        <w:tab/>
      </w:r>
      <w:r w:rsidRPr="00584F93">
        <w:t>Printing, reproduction or purchase costs of all documents and drawings with the exception of those used internally by the architect.</w:t>
      </w:r>
    </w:p>
    <w:p w14:paraId="177E6591" w14:textId="77777777" w:rsidR="00584F93" w:rsidRDefault="00584F93" w:rsidP="00584F93">
      <w:pPr>
        <w:pStyle w:val="REG-Pa"/>
      </w:pPr>
    </w:p>
    <w:p w14:paraId="670B20DF" w14:textId="77777777" w:rsidR="00695138" w:rsidRDefault="00695138" w:rsidP="00695138">
      <w:pPr>
        <w:pStyle w:val="REG-Amend"/>
      </w:pPr>
      <w:r>
        <w:t xml:space="preserve">[There is a full stop instead of a semicolon at the end of paragraph (a) in the </w:t>
      </w:r>
      <w:r w:rsidRPr="00695138">
        <w:rPr>
          <w:i/>
        </w:rPr>
        <w:t>Government Gazette</w:t>
      </w:r>
      <w:r>
        <w:t>.]</w:t>
      </w:r>
    </w:p>
    <w:p w14:paraId="30F909DE" w14:textId="77777777" w:rsidR="00695138" w:rsidRPr="00584F93" w:rsidRDefault="00695138" w:rsidP="00584F93">
      <w:pPr>
        <w:pStyle w:val="REG-Pa"/>
      </w:pPr>
    </w:p>
    <w:p w14:paraId="5CFC50FB" w14:textId="77777777" w:rsidR="00584F93" w:rsidRPr="00584F93" w:rsidRDefault="00206481" w:rsidP="00584F93">
      <w:pPr>
        <w:pStyle w:val="REG-Pa"/>
      </w:pPr>
      <w:r>
        <w:t>(b)</w:t>
      </w:r>
      <w:r>
        <w:tab/>
      </w:r>
      <w:r w:rsidRPr="00584F93">
        <w:t>preparation of maps, models, photographs and analogous documentation as agreed with the client;</w:t>
      </w:r>
    </w:p>
    <w:p w14:paraId="56BB8406" w14:textId="77777777" w:rsidR="00584F93" w:rsidRPr="00584F93" w:rsidRDefault="00584F93" w:rsidP="00584F93">
      <w:pPr>
        <w:pStyle w:val="REG-Pa"/>
      </w:pPr>
    </w:p>
    <w:p w14:paraId="72C4C806" w14:textId="77777777" w:rsidR="00584F93" w:rsidRPr="00584F93" w:rsidRDefault="00206481" w:rsidP="00584F93">
      <w:pPr>
        <w:pStyle w:val="REG-Pa"/>
      </w:pPr>
      <w:r>
        <w:t>(c)</w:t>
      </w:r>
      <w:r>
        <w:tab/>
      </w:r>
      <w:r w:rsidRPr="00584F93">
        <w:t>hotel and travelling expenses, including kilometre allowances for cars and other similar disbursements; or</w:t>
      </w:r>
    </w:p>
    <w:p w14:paraId="023A72F6" w14:textId="77777777" w:rsidR="00584F93" w:rsidRPr="00584F93" w:rsidRDefault="00584F93" w:rsidP="00584F93">
      <w:pPr>
        <w:pStyle w:val="REG-Pa"/>
      </w:pPr>
    </w:p>
    <w:p w14:paraId="175906AF" w14:textId="77777777" w:rsidR="00584F93" w:rsidRPr="00584F93" w:rsidRDefault="00206481" w:rsidP="00584F93">
      <w:pPr>
        <w:pStyle w:val="REG-Pa"/>
      </w:pPr>
      <w:r>
        <w:t>(d)</w:t>
      </w:r>
      <w:r>
        <w:tab/>
      </w:r>
      <w:r w:rsidRPr="00584F93">
        <w:t>all payments made on behalf of the client, including fees and other charges for specialised professional services, including legal advice, which have been reasonably incurred by the architect.</w:t>
      </w:r>
    </w:p>
    <w:p w14:paraId="4D622DB5" w14:textId="77777777" w:rsidR="00584F93" w:rsidRDefault="00584F93" w:rsidP="00584F93">
      <w:pPr>
        <w:pStyle w:val="REG-P0"/>
        <w:rPr>
          <w:sz w:val="24"/>
        </w:rPr>
      </w:pPr>
    </w:p>
    <w:p w14:paraId="4A806A32" w14:textId="77777777" w:rsidR="00584F93" w:rsidRPr="00584F93" w:rsidRDefault="00206481" w:rsidP="00584F93">
      <w:pPr>
        <w:pStyle w:val="REG-P0"/>
        <w:rPr>
          <w:b/>
        </w:rPr>
      </w:pPr>
      <w:r w:rsidRPr="00584F93">
        <w:rPr>
          <w:b/>
        </w:rPr>
        <w:t>Commencement</w:t>
      </w:r>
    </w:p>
    <w:p w14:paraId="3B76DA27" w14:textId="77777777" w:rsidR="00584F93" w:rsidRDefault="00584F93" w:rsidP="00584F93">
      <w:pPr>
        <w:pStyle w:val="REG-P0"/>
        <w:rPr>
          <w:b/>
          <w:sz w:val="24"/>
        </w:rPr>
      </w:pPr>
    </w:p>
    <w:p w14:paraId="599BE9C6" w14:textId="77777777" w:rsidR="00584F93" w:rsidRDefault="00206481" w:rsidP="00584F93">
      <w:pPr>
        <w:pStyle w:val="REG-P1"/>
        <w:rPr>
          <w:sz w:val="23"/>
        </w:rPr>
      </w:pPr>
      <w:r>
        <w:rPr>
          <w:b/>
          <w:sz w:val="21"/>
        </w:rPr>
        <w:t>16.</w:t>
      </w:r>
      <w:r>
        <w:rPr>
          <w:b/>
          <w:sz w:val="21"/>
        </w:rPr>
        <w:tab/>
      </w:r>
      <w:r>
        <w:rPr>
          <w:sz w:val="21"/>
        </w:rPr>
        <w:t>(1)</w:t>
      </w:r>
      <w:r>
        <w:rPr>
          <w:sz w:val="21"/>
        </w:rPr>
        <w:tab/>
      </w:r>
      <w:r>
        <w:t>The tariff of fees prescribed in Annexure 1 shall apply to all new projects.</w:t>
      </w:r>
    </w:p>
    <w:p w14:paraId="4D644871" w14:textId="77777777" w:rsidR="00584F93" w:rsidRDefault="00584F93" w:rsidP="00584F93">
      <w:pPr>
        <w:pStyle w:val="REG-P1"/>
        <w:rPr>
          <w:sz w:val="24"/>
        </w:rPr>
      </w:pPr>
    </w:p>
    <w:p w14:paraId="1B3BE607" w14:textId="77777777" w:rsidR="00584F93" w:rsidRDefault="00206481" w:rsidP="00584F93">
      <w:pPr>
        <w:pStyle w:val="REG-P1"/>
      </w:pPr>
      <w:r>
        <w:t>(2)</w:t>
      </w:r>
      <w:r>
        <w:tab/>
        <w:t>The tariff of fees, prescribed in Annexure 2 shall apply to all new projects and to those stages of a project not commenced with at the date of publication of the said</w:t>
      </w:r>
      <w:r>
        <w:rPr>
          <w:spacing w:val="13"/>
        </w:rPr>
        <w:t xml:space="preserve"> </w:t>
      </w:r>
      <w:r>
        <w:t>tariff.</w:t>
      </w:r>
    </w:p>
    <w:p w14:paraId="63F45F40" w14:textId="77777777" w:rsidR="00584F93" w:rsidRDefault="00584F93" w:rsidP="00584F93">
      <w:pPr>
        <w:pStyle w:val="REG-P0"/>
        <w:rPr>
          <w:sz w:val="23"/>
        </w:rPr>
      </w:pPr>
    </w:p>
    <w:p w14:paraId="30F709BF" w14:textId="77777777" w:rsidR="00584F93" w:rsidRPr="00584F93" w:rsidRDefault="00206481" w:rsidP="00584F93">
      <w:pPr>
        <w:pStyle w:val="REG-P0"/>
        <w:rPr>
          <w:b/>
        </w:rPr>
      </w:pPr>
      <w:r w:rsidRPr="00584F93">
        <w:rPr>
          <w:b/>
          <w:w w:val="105"/>
        </w:rPr>
        <w:t>Annual adjustment</w:t>
      </w:r>
    </w:p>
    <w:p w14:paraId="103DA2A8" w14:textId="77777777" w:rsidR="00584F93" w:rsidRDefault="00584F93" w:rsidP="00584F93">
      <w:pPr>
        <w:pStyle w:val="REG-P0"/>
        <w:rPr>
          <w:b/>
          <w:sz w:val="26"/>
        </w:rPr>
      </w:pPr>
    </w:p>
    <w:p w14:paraId="2795B856" w14:textId="77777777" w:rsidR="00584F93" w:rsidRDefault="00206481" w:rsidP="00584F93">
      <w:pPr>
        <w:pStyle w:val="REG-P1"/>
      </w:pPr>
      <w:r>
        <w:rPr>
          <w:b/>
        </w:rPr>
        <w:t>17.</w:t>
      </w:r>
      <w:r>
        <w:rPr>
          <w:b/>
        </w:rPr>
        <w:tab/>
      </w:r>
      <w:r w:rsidRPr="00584F93">
        <w:t>The values of the limits of the cost of the works as indicated in Annexure 1 will at the discretion of Council be adjusted annually on 1 October to the nearest one thousand dollar by applying the percentage increase in the consumer price index for the twelve month period ending 30 June in the year of adjustment as determined by the Central Statistical Services, thereto.</w:t>
      </w:r>
    </w:p>
    <w:p w14:paraId="35CD82A6" w14:textId="77777777" w:rsidR="00584F93" w:rsidRDefault="00584F93" w:rsidP="00584F93">
      <w:pPr>
        <w:pStyle w:val="REG-P1"/>
      </w:pPr>
    </w:p>
    <w:p w14:paraId="2819F81E" w14:textId="77777777" w:rsidR="008F5963" w:rsidRPr="00C63DE5" w:rsidRDefault="00206481" w:rsidP="009910E8">
      <w:pPr>
        <w:pStyle w:val="REG-Amend"/>
      </w:pPr>
      <w:r>
        <w:t xml:space="preserve">[The Central Statistical Services </w:t>
      </w:r>
      <w:r w:rsidR="00695138">
        <w:t xml:space="preserve">were </w:t>
      </w:r>
      <w:r>
        <w:t xml:space="preserve">replaced by the </w:t>
      </w:r>
      <w:r w:rsidRPr="00584F93">
        <w:t>Namibia Statistics</w:t>
      </w:r>
      <w:r>
        <w:t xml:space="preserve"> Agency </w:t>
      </w:r>
      <w:r w:rsidR="00695138">
        <w:br/>
      </w:r>
      <w:r>
        <w:t>by virtue of the Statistics Act 9 of 2011.]</w:t>
      </w:r>
    </w:p>
    <w:p w14:paraId="55FCF1CA" w14:textId="2181E38C" w:rsidR="00683064" w:rsidRDefault="00683064" w:rsidP="00B12C91">
      <w:pPr>
        <w:pStyle w:val="REG-P0"/>
      </w:pPr>
    </w:p>
    <w:p w14:paraId="0F03354C" w14:textId="77777777" w:rsidR="009B2539" w:rsidRDefault="009B2539" w:rsidP="00B12C91">
      <w:pPr>
        <w:pStyle w:val="REG-P0"/>
      </w:pPr>
    </w:p>
    <w:p w14:paraId="776D913F" w14:textId="103A5A98" w:rsidR="00A32D09" w:rsidRPr="009B2539" w:rsidRDefault="00A32D09" w:rsidP="00227F02">
      <w:pPr>
        <w:pStyle w:val="REG-P0"/>
        <w:jc w:val="center"/>
        <w:rPr>
          <w:b/>
        </w:rPr>
      </w:pPr>
      <w:r>
        <w:br w:type="page"/>
      </w:r>
      <w:r w:rsidRPr="009B2539">
        <w:rPr>
          <w:b/>
        </w:rPr>
        <w:t>ANNEXUR</w:t>
      </w:r>
      <w:r w:rsidR="00227F02" w:rsidRPr="009B2539">
        <w:rPr>
          <w:b/>
        </w:rPr>
        <w:t>E</w:t>
      </w:r>
      <w:r w:rsidRPr="009B2539">
        <w:rPr>
          <w:b/>
        </w:rPr>
        <w:t xml:space="preserve"> 1</w:t>
      </w:r>
    </w:p>
    <w:p w14:paraId="416A0AE8" w14:textId="77777777" w:rsidR="00A32D09" w:rsidRDefault="00A32D09" w:rsidP="00227F02">
      <w:pPr>
        <w:pStyle w:val="REG-P0"/>
        <w:jc w:val="center"/>
      </w:pPr>
    </w:p>
    <w:p w14:paraId="1C314B36" w14:textId="77777777" w:rsidR="00A32D09" w:rsidRDefault="00A32D09" w:rsidP="00227F02">
      <w:pPr>
        <w:pStyle w:val="REG-P0"/>
        <w:jc w:val="center"/>
        <w:rPr>
          <w:w w:val="105"/>
        </w:rPr>
      </w:pPr>
      <w:r>
        <w:rPr>
          <w:w w:val="105"/>
        </w:rPr>
        <w:t>PERCENTAGE FEES FOR WORKS</w:t>
      </w:r>
    </w:p>
    <w:p w14:paraId="07AD0009" w14:textId="77777777" w:rsidR="00A32D09" w:rsidRDefault="00A32D09" w:rsidP="000E7E9B">
      <w:pPr>
        <w:pStyle w:val="REG-P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846"/>
        <w:gridCol w:w="357"/>
        <w:gridCol w:w="1064"/>
        <w:gridCol w:w="2074"/>
        <w:gridCol w:w="2074"/>
        <w:gridCol w:w="2073"/>
      </w:tblGrid>
      <w:tr w:rsidR="00CA5C78" w:rsidRPr="00227F02" w14:paraId="2D12050B" w14:textId="77777777" w:rsidTr="00B23FD0">
        <w:trPr>
          <w:jc w:val="center"/>
        </w:trPr>
        <w:tc>
          <w:tcPr>
            <w:tcW w:w="2267" w:type="dxa"/>
            <w:gridSpan w:val="3"/>
            <w:vAlign w:val="center"/>
          </w:tcPr>
          <w:p w14:paraId="18A4142D" w14:textId="77777777" w:rsidR="00CA5C78" w:rsidRPr="00227F02" w:rsidRDefault="00CA5C78" w:rsidP="00872924">
            <w:pPr>
              <w:pStyle w:val="TableParagraph"/>
              <w:jc w:val="center"/>
              <w:rPr>
                <w:rFonts w:cs="Times New Roman"/>
                <w:spacing w:val="-2"/>
                <w:sz w:val="18"/>
                <w:szCs w:val="18"/>
              </w:rPr>
            </w:pPr>
            <w:r w:rsidRPr="00227F02">
              <w:rPr>
                <w:rFonts w:cs="Times New Roman"/>
                <w:spacing w:val="-2"/>
                <w:sz w:val="18"/>
                <w:szCs w:val="18"/>
              </w:rPr>
              <w:t>Cost of works</w:t>
            </w:r>
          </w:p>
          <w:p w14:paraId="499CAC52" w14:textId="69A6BDC3" w:rsidR="00CA5C78" w:rsidRPr="00227F02" w:rsidRDefault="00CA5C78" w:rsidP="00872924">
            <w:pPr>
              <w:pStyle w:val="TableParagraph"/>
              <w:jc w:val="center"/>
              <w:rPr>
                <w:rFonts w:cs="Times New Roman"/>
                <w:b/>
                <w:spacing w:val="-2"/>
                <w:sz w:val="18"/>
                <w:szCs w:val="18"/>
              </w:rPr>
            </w:pPr>
            <w:r w:rsidRPr="00227F02">
              <w:rPr>
                <w:rFonts w:cs="Times New Roman"/>
                <w:spacing w:val="-2"/>
                <w:sz w:val="18"/>
                <w:szCs w:val="18"/>
              </w:rPr>
              <w:t>(in Namibian Dollars)</w:t>
            </w:r>
          </w:p>
        </w:tc>
        <w:tc>
          <w:tcPr>
            <w:tcW w:w="2074" w:type="dxa"/>
            <w:vAlign w:val="center"/>
          </w:tcPr>
          <w:p w14:paraId="4853F9A5" w14:textId="19E38CC9" w:rsidR="00CA5C78" w:rsidRPr="00227F02" w:rsidRDefault="00CA5C78" w:rsidP="00872924">
            <w:pPr>
              <w:pStyle w:val="TableParagraph"/>
              <w:jc w:val="center"/>
              <w:rPr>
                <w:rFonts w:cs="Times New Roman"/>
                <w:b/>
                <w:spacing w:val="-2"/>
                <w:sz w:val="18"/>
                <w:szCs w:val="18"/>
              </w:rPr>
            </w:pPr>
            <w:r w:rsidRPr="00227F02">
              <w:rPr>
                <w:rFonts w:cs="Times New Roman"/>
                <w:b/>
                <w:spacing w:val="-2"/>
                <w:sz w:val="18"/>
                <w:szCs w:val="18"/>
              </w:rPr>
              <w:t>Column A</w:t>
            </w:r>
          </w:p>
          <w:p w14:paraId="589CF9DE" w14:textId="00C51910" w:rsidR="00CA5C78" w:rsidRPr="00227F02" w:rsidRDefault="00CA5C78" w:rsidP="00872924">
            <w:pPr>
              <w:pStyle w:val="TableParagraph"/>
              <w:jc w:val="center"/>
              <w:rPr>
                <w:rFonts w:cs="Times New Roman"/>
                <w:spacing w:val="-2"/>
                <w:sz w:val="18"/>
                <w:szCs w:val="18"/>
              </w:rPr>
            </w:pPr>
            <w:r w:rsidRPr="00227F02">
              <w:rPr>
                <w:rFonts w:cs="Times New Roman"/>
                <w:spacing w:val="-2"/>
                <w:sz w:val="18"/>
                <w:szCs w:val="18"/>
              </w:rPr>
              <w:t xml:space="preserve">Fee for buildings other </w:t>
            </w:r>
            <w:r>
              <w:rPr>
                <w:rFonts w:cs="Times New Roman"/>
                <w:spacing w:val="-2"/>
                <w:sz w:val="18"/>
                <w:szCs w:val="18"/>
              </w:rPr>
              <w:br/>
            </w:r>
            <w:r w:rsidRPr="00227F02">
              <w:rPr>
                <w:rFonts w:cs="Times New Roman"/>
                <w:spacing w:val="-2"/>
                <w:sz w:val="18"/>
                <w:szCs w:val="18"/>
              </w:rPr>
              <w:t>than simple or complex</w:t>
            </w:r>
          </w:p>
          <w:p w14:paraId="192AAC11" w14:textId="77777777" w:rsidR="00CA5C78" w:rsidRPr="00227F02" w:rsidRDefault="00CA5C78" w:rsidP="00872924">
            <w:pPr>
              <w:pStyle w:val="TableParagraph"/>
              <w:jc w:val="center"/>
              <w:rPr>
                <w:rFonts w:cs="Times New Roman"/>
                <w:spacing w:val="-2"/>
                <w:sz w:val="18"/>
                <w:szCs w:val="18"/>
              </w:rPr>
            </w:pPr>
            <w:r w:rsidRPr="00227F02">
              <w:rPr>
                <w:rFonts w:cs="Times New Roman"/>
                <w:i/>
                <w:spacing w:val="-2"/>
                <w:sz w:val="18"/>
                <w:szCs w:val="18"/>
              </w:rPr>
              <w:t>(</w:t>
            </w:r>
            <w:r w:rsidRPr="00227F02">
              <w:rPr>
                <w:rFonts w:cs="Times New Roman"/>
                <w:spacing w:val="-2"/>
                <w:sz w:val="18"/>
                <w:szCs w:val="18"/>
              </w:rPr>
              <w:t>in</w:t>
            </w:r>
            <w:r w:rsidRPr="00227F02">
              <w:rPr>
                <w:rFonts w:cs="Times New Roman"/>
                <w:i/>
                <w:spacing w:val="-2"/>
                <w:sz w:val="18"/>
                <w:szCs w:val="18"/>
              </w:rPr>
              <w:t xml:space="preserve"> </w:t>
            </w:r>
            <w:r w:rsidRPr="00227F02">
              <w:rPr>
                <w:rFonts w:cs="Times New Roman"/>
                <w:spacing w:val="-2"/>
                <w:sz w:val="18"/>
                <w:szCs w:val="18"/>
              </w:rPr>
              <w:t>Namibian Dollars)</w:t>
            </w:r>
          </w:p>
        </w:tc>
        <w:tc>
          <w:tcPr>
            <w:tcW w:w="2074" w:type="dxa"/>
            <w:vAlign w:val="center"/>
          </w:tcPr>
          <w:p w14:paraId="1517C9AB" w14:textId="77777777" w:rsidR="00CA5C78" w:rsidRPr="00227F02" w:rsidRDefault="00CA5C78" w:rsidP="00872924">
            <w:pPr>
              <w:pStyle w:val="TableParagraph"/>
              <w:jc w:val="center"/>
              <w:rPr>
                <w:rFonts w:cs="Times New Roman"/>
                <w:b/>
                <w:spacing w:val="-2"/>
                <w:sz w:val="18"/>
                <w:szCs w:val="18"/>
              </w:rPr>
            </w:pPr>
            <w:r w:rsidRPr="00227F02">
              <w:rPr>
                <w:rFonts w:cs="Times New Roman"/>
                <w:b/>
                <w:spacing w:val="-2"/>
                <w:sz w:val="18"/>
                <w:szCs w:val="18"/>
              </w:rPr>
              <w:t>Column B</w:t>
            </w:r>
          </w:p>
          <w:p w14:paraId="4CA04F28" w14:textId="05349121" w:rsidR="00CA5C78" w:rsidRPr="00227F02" w:rsidRDefault="00CA5C78" w:rsidP="00872924">
            <w:pPr>
              <w:pStyle w:val="TableParagraph"/>
              <w:jc w:val="center"/>
              <w:rPr>
                <w:rFonts w:cs="Times New Roman"/>
                <w:spacing w:val="-2"/>
                <w:sz w:val="18"/>
                <w:szCs w:val="18"/>
              </w:rPr>
            </w:pPr>
            <w:r w:rsidRPr="00227F02">
              <w:rPr>
                <w:rFonts w:cs="Times New Roman"/>
                <w:spacing w:val="-2"/>
                <w:sz w:val="18"/>
                <w:szCs w:val="18"/>
              </w:rPr>
              <w:t xml:space="preserve">Fee for simple buildings </w:t>
            </w:r>
            <w:r>
              <w:rPr>
                <w:rFonts w:cs="Times New Roman"/>
                <w:spacing w:val="-2"/>
                <w:sz w:val="18"/>
                <w:szCs w:val="18"/>
              </w:rPr>
              <w:br/>
            </w:r>
            <w:r w:rsidRPr="00227F02">
              <w:rPr>
                <w:rFonts w:cs="Times New Roman"/>
                <w:spacing w:val="-2"/>
                <w:sz w:val="18"/>
                <w:szCs w:val="18"/>
              </w:rPr>
              <w:t>(in Namibian Dollars)</w:t>
            </w:r>
          </w:p>
        </w:tc>
        <w:tc>
          <w:tcPr>
            <w:tcW w:w="2073" w:type="dxa"/>
            <w:vAlign w:val="center"/>
          </w:tcPr>
          <w:p w14:paraId="3D09878D" w14:textId="77777777" w:rsidR="00CA5C78" w:rsidRPr="00227F02" w:rsidRDefault="00CA5C78" w:rsidP="00872924">
            <w:pPr>
              <w:pStyle w:val="TableParagraph"/>
              <w:jc w:val="center"/>
              <w:rPr>
                <w:rFonts w:cs="Times New Roman"/>
                <w:b/>
                <w:spacing w:val="-2"/>
                <w:sz w:val="18"/>
                <w:szCs w:val="18"/>
              </w:rPr>
            </w:pPr>
            <w:r w:rsidRPr="00227F02">
              <w:rPr>
                <w:rFonts w:cs="Times New Roman"/>
                <w:b/>
                <w:spacing w:val="-2"/>
                <w:sz w:val="18"/>
                <w:szCs w:val="18"/>
              </w:rPr>
              <w:t>Column C</w:t>
            </w:r>
          </w:p>
          <w:p w14:paraId="31A1F3C8" w14:textId="4CB056A9" w:rsidR="00CA5C78" w:rsidRPr="00227F02" w:rsidRDefault="00CA5C78" w:rsidP="00872924">
            <w:pPr>
              <w:pStyle w:val="TableParagraph"/>
              <w:jc w:val="center"/>
              <w:rPr>
                <w:rFonts w:cs="Times New Roman"/>
                <w:spacing w:val="-2"/>
                <w:sz w:val="18"/>
                <w:szCs w:val="18"/>
              </w:rPr>
            </w:pPr>
            <w:r w:rsidRPr="00227F02">
              <w:rPr>
                <w:rFonts w:cs="Times New Roman"/>
                <w:spacing w:val="-2"/>
                <w:sz w:val="18"/>
                <w:szCs w:val="18"/>
              </w:rPr>
              <w:t xml:space="preserve">Fee for complex buildings </w:t>
            </w:r>
            <w:r>
              <w:rPr>
                <w:rFonts w:cs="Times New Roman"/>
                <w:spacing w:val="-2"/>
                <w:sz w:val="18"/>
                <w:szCs w:val="18"/>
              </w:rPr>
              <w:br/>
            </w:r>
            <w:r w:rsidRPr="00227F02">
              <w:rPr>
                <w:rFonts w:cs="Times New Roman"/>
                <w:spacing w:val="-2"/>
                <w:sz w:val="18"/>
                <w:szCs w:val="18"/>
              </w:rPr>
              <w:t>(in Namibian Dollars)</w:t>
            </w:r>
          </w:p>
        </w:tc>
      </w:tr>
      <w:tr w:rsidR="001F6E7C" w:rsidRPr="00227F02" w14:paraId="401E59FE" w14:textId="77777777" w:rsidTr="00B23FD0">
        <w:trPr>
          <w:jc w:val="center"/>
        </w:trPr>
        <w:tc>
          <w:tcPr>
            <w:tcW w:w="846" w:type="dxa"/>
            <w:tcBorders>
              <w:right w:val="nil"/>
            </w:tcBorders>
            <w:vAlign w:val="center"/>
          </w:tcPr>
          <w:p w14:paraId="2758321E" w14:textId="76184290"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0</w:t>
            </w:r>
            <w:r>
              <w:rPr>
                <w:rFonts w:cs="Times New Roman"/>
                <w:spacing w:val="-2"/>
                <w:sz w:val="18"/>
                <w:szCs w:val="18"/>
              </w:rPr>
              <w:t xml:space="preserve"> </w:t>
            </w:r>
          </w:p>
        </w:tc>
        <w:tc>
          <w:tcPr>
            <w:tcW w:w="357" w:type="dxa"/>
            <w:tcBorders>
              <w:left w:val="nil"/>
              <w:right w:val="nil"/>
            </w:tcBorders>
            <w:vAlign w:val="center"/>
          </w:tcPr>
          <w:p w14:paraId="52D0820F" w14:textId="48694B99"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7C7452C2" w14:textId="6ED87428"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318 000</w:t>
            </w:r>
          </w:p>
        </w:tc>
        <w:tc>
          <w:tcPr>
            <w:tcW w:w="2074" w:type="dxa"/>
            <w:vAlign w:val="center"/>
          </w:tcPr>
          <w:p w14:paraId="7D87686F" w14:textId="1A8BB390"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0,00 + 7,5% of cost</w:t>
            </w:r>
          </w:p>
        </w:tc>
        <w:tc>
          <w:tcPr>
            <w:tcW w:w="2074" w:type="dxa"/>
            <w:vAlign w:val="center"/>
          </w:tcPr>
          <w:p w14:paraId="4EBE6BBA"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0,00 + 6,5% of cost</w:t>
            </w:r>
          </w:p>
        </w:tc>
        <w:tc>
          <w:tcPr>
            <w:tcW w:w="2073" w:type="dxa"/>
            <w:vAlign w:val="center"/>
          </w:tcPr>
          <w:p w14:paraId="7A378CB8"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0,00 + 8,50% of cost</w:t>
            </w:r>
          </w:p>
        </w:tc>
      </w:tr>
      <w:tr w:rsidR="001F6E7C" w:rsidRPr="00227F02" w14:paraId="2E3FD125" w14:textId="77777777" w:rsidTr="00B23FD0">
        <w:trPr>
          <w:jc w:val="center"/>
        </w:trPr>
        <w:tc>
          <w:tcPr>
            <w:tcW w:w="846" w:type="dxa"/>
            <w:tcBorders>
              <w:right w:val="nil"/>
            </w:tcBorders>
            <w:vAlign w:val="center"/>
          </w:tcPr>
          <w:p w14:paraId="676F3585" w14:textId="63C13EB2" w:rsidR="00872924" w:rsidRPr="00227F02" w:rsidRDefault="00872924" w:rsidP="00CA5C78">
            <w:pPr>
              <w:pStyle w:val="TableParagraph"/>
              <w:tabs>
                <w:tab w:val="left" w:pos="1010"/>
                <w:tab w:val="right" w:pos="2447"/>
              </w:tabs>
              <w:jc w:val="right"/>
              <w:rPr>
                <w:rFonts w:cs="Times New Roman"/>
                <w:spacing w:val="-2"/>
                <w:sz w:val="18"/>
                <w:szCs w:val="18"/>
              </w:rPr>
            </w:pPr>
            <w:r w:rsidRPr="00227F02">
              <w:rPr>
                <w:rFonts w:cs="Times New Roman"/>
                <w:spacing w:val="-2"/>
                <w:sz w:val="18"/>
                <w:szCs w:val="18"/>
              </w:rPr>
              <w:t>318</w:t>
            </w:r>
            <w:r>
              <w:rPr>
                <w:rFonts w:cs="Times New Roman"/>
                <w:spacing w:val="-2"/>
                <w:sz w:val="18"/>
                <w:szCs w:val="18"/>
              </w:rPr>
              <w:t xml:space="preserve"> </w:t>
            </w:r>
            <w:r w:rsidRPr="00227F02">
              <w:rPr>
                <w:rFonts w:cs="Times New Roman"/>
                <w:spacing w:val="-2"/>
                <w:sz w:val="18"/>
                <w:szCs w:val="18"/>
              </w:rPr>
              <w:t>001</w:t>
            </w:r>
          </w:p>
        </w:tc>
        <w:tc>
          <w:tcPr>
            <w:tcW w:w="357" w:type="dxa"/>
            <w:tcBorders>
              <w:left w:val="nil"/>
              <w:right w:val="nil"/>
            </w:tcBorders>
            <w:vAlign w:val="center"/>
          </w:tcPr>
          <w:p w14:paraId="2044F7B4" w14:textId="1DCD6778"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7A9B77C1" w14:textId="5A988566"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636 000</w:t>
            </w:r>
          </w:p>
        </w:tc>
        <w:tc>
          <w:tcPr>
            <w:tcW w:w="2074" w:type="dxa"/>
            <w:vAlign w:val="center"/>
          </w:tcPr>
          <w:p w14:paraId="30651DC3" w14:textId="1597C634"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1 590,00 + 7,0% of cost</w:t>
            </w:r>
          </w:p>
        </w:tc>
        <w:tc>
          <w:tcPr>
            <w:tcW w:w="2074" w:type="dxa"/>
            <w:vAlign w:val="center"/>
          </w:tcPr>
          <w:p w14:paraId="323391A4"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1 590,00 + 6,0% of cost</w:t>
            </w:r>
          </w:p>
        </w:tc>
        <w:tc>
          <w:tcPr>
            <w:tcW w:w="2073" w:type="dxa"/>
            <w:vAlign w:val="center"/>
          </w:tcPr>
          <w:p w14:paraId="7F670535"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1 590,00 + 8,00% of cost</w:t>
            </w:r>
          </w:p>
        </w:tc>
      </w:tr>
      <w:tr w:rsidR="001F6E7C" w:rsidRPr="00227F02" w14:paraId="56A2F85A" w14:textId="77777777" w:rsidTr="00B23FD0">
        <w:trPr>
          <w:jc w:val="center"/>
        </w:trPr>
        <w:tc>
          <w:tcPr>
            <w:tcW w:w="846" w:type="dxa"/>
            <w:tcBorders>
              <w:right w:val="nil"/>
            </w:tcBorders>
            <w:vAlign w:val="center"/>
          </w:tcPr>
          <w:p w14:paraId="61473AE7" w14:textId="5AA6BE15" w:rsidR="00872924" w:rsidRPr="00227F02" w:rsidRDefault="00872924" w:rsidP="00CA5C78">
            <w:pPr>
              <w:pStyle w:val="TableParagraph"/>
              <w:tabs>
                <w:tab w:val="left" w:pos="1016"/>
                <w:tab w:val="left" w:pos="1531"/>
              </w:tabs>
              <w:jc w:val="right"/>
              <w:rPr>
                <w:rFonts w:cs="Times New Roman"/>
                <w:spacing w:val="-2"/>
                <w:sz w:val="18"/>
                <w:szCs w:val="18"/>
              </w:rPr>
            </w:pPr>
            <w:r w:rsidRPr="00227F02">
              <w:rPr>
                <w:rFonts w:cs="Times New Roman"/>
                <w:spacing w:val="-2"/>
                <w:sz w:val="18"/>
                <w:szCs w:val="18"/>
              </w:rPr>
              <w:t>636 001</w:t>
            </w:r>
          </w:p>
        </w:tc>
        <w:tc>
          <w:tcPr>
            <w:tcW w:w="357" w:type="dxa"/>
            <w:tcBorders>
              <w:left w:val="nil"/>
              <w:right w:val="nil"/>
            </w:tcBorders>
            <w:vAlign w:val="center"/>
          </w:tcPr>
          <w:p w14:paraId="69F8EF45" w14:textId="6C0720F6"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02CEE837" w14:textId="589C0132"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1272000</w:t>
            </w:r>
          </w:p>
        </w:tc>
        <w:tc>
          <w:tcPr>
            <w:tcW w:w="2074" w:type="dxa"/>
            <w:vAlign w:val="center"/>
          </w:tcPr>
          <w:p w14:paraId="04AB8E2F" w14:textId="394E102A"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3 180,00 + 6,75% of cost</w:t>
            </w:r>
          </w:p>
        </w:tc>
        <w:tc>
          <w:tcPr>
            <w:tcW w:w="2074" w:type="dxa"/>
            <w:vAlign w:val="center"/>
          </w:tcPr>
          <w:p w14:paraId="447A4185"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3 180,00 + 5,75% of cost</w:t>
            </w:r>
          </w:p>
        </w:tc>
        <w:tc>
          <w:tcPr>
            <w:tcW w:w="2073" w:type="dxa"/>
            <w:vAlign w:val="center"/>
          </w:tcPr>
          <w:p w14:paraId="213057BF"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3 180,00 + 7,75% of cost</w:t>
            </w:r>
          </w:p>
        </w:tc>
      </w:tr>
      <w:tr w:rsidR="001F6E7C" w:rsidRPr="00227F02" w14:paraId="1A030D82" w14:textId="77777777" w:rsidTr="00B23FD0">
        <w:trPr>
          <w:jc w:val="center"/>
        </w:trPr>
        <w:tc>
          <w:tcPr>
            <w:tcW w:w="846" w:type="dxa"/>
            <w:tcBorders>
              <w:right w:val="nil"/>
            </w:tcBorders>
            <w:vAlign w:val="center"/>
          </w:tcPr>
          <w:p w14:paraId="451E76DA" w14:textId="4BC159F5" w:rsidR="00872924" w:rsidRPr="00227F02" w:rsidRDefault="00872924" w:rsidP="00CA5C78">
            <w:pPr>
              <w:pStyle w:val="TableParagraph"/>
              <w:tabs>
                <w:tab w:val="left" w:pos="1181"/>
                <w:tab w:val="left" w:pos="1698"/>
              </w:tabs>
              <w:jc w:val="right"/>
              <w:rPr>
                <w:rFonts w:cs="Times New Roman"/>
                <w:spacing w:val="-2"/>
                <w:sz w:val="18"/>
                <w:szCs w:val="18"/>
              </w:rPr>
            </w:pPr>
            <w:r w:rsidRPr="00227F02">
              <w:rPr>
                <w:rFonts w:cs="Times New Roman"/>
                <w:spacing w:val="-2"/>
                <w:position w:val="1"/>
                <w:sz w:val="18"/>
                <w:szCs w:val="18"/>
              </w:rPr>
              <w:t>1 272 001</w:t>
            </w:r>
            <w:r>
              <w:rPr>
                <w:rFonts w:cs="Times New Roman"/>
                <w:spacing w:val="-2"/>
                <w:sz w:val="18"/>
                <w:szCs w:val="18"/>
              </w:rPr>
              <w:t xml:space="preserve"> </w:t>
            </w:r>
          </w:p>
        </w:tc>
        <w:tc>
          <w:tcPr>
            <w:tcW w:w="357" w:type="dxa"/>
            <w:tcBorders>
              <w:left w:val="nil"/>
              <w:right w:val="nil"/>
            </w:tcBorders>
            <w:vAlign w:val="center"/>
          </w:tcPr>
          <w:p w14:paraId="3406F168" w14:textId="68886A50"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189E4D50" w14:textId="1018FB7B"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2 544 000</w:t>
            </w:r>
          </w:p>
        </w:tc>
        <w:tc>
          <w:tcPr>
            <w:tcW w:w="2074" w:type="dxa"/>
            <w:vAlign w:val="center"/>
          </w:tcPr>
          <w:p w14:paraId="3CC26116" w14:textId="56AF27FF"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6 360,00 + 6,5% of cost</w:t>
            </w:r>
          </w:p>
        </w:tc>
        <w:tc>
          <w:tcPr>
            <w:tcW w:w="2074" w:type="dxa"/>
            <w:vAlign w:val="center"/>
          </w:tcPr>
          <w:p w14:paraId="0813654F"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6 360,00 + 5,5% of cost</w:t>
            </w:r>
          </w:p>
        </w:tc>
        <w:tc>
          <w:tcPr>
            <w:tcW w:w="2073" w:type="dxa"/>
            <w:vAlign w:val="center"/>
          </w:tcPr>
          <w:p w14:paraId="6B2232C8"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6 360,00 + 7,5% of cost</w:t>
            </w:r>
          </w:p>
        </w:tc>
      </w:tr>
      <w:tr w:rsidR="001F6E7C" w:rsidRPr="00227F02" w14:paraId="44407560" w14:textId="77777777" w:rsidTr="00B23FD0">
        <w:trPr>
          <w:jc w:val="center"/>
        </w:trPr>
        <w:tc>
          <w:tcPr>
            <w:tcW w:w="846" w:type="dxa"/>
            <w:tcBorders>
              <w:right w:val="nil"/>
            </w:tcBorders>
            <w:vAlign w:val="center"/>
          </w:tcPr>
          <w:p w14:paraId="0229E89B" w14:textId="355727B7" w:rsidR="00872924" w:rsidRPr="00227F02" w:rsidRDefault="00872924" w:rsidP="00CA5C78">
            <w:pPr>
              <w:pStyle w:val="TableParagraph"/>
              <w:tabs>
                <w:tab w:val="left" w:pos="1179"/>
                <w:tab w:val="left" w:pos="1690"/>
              </w:tabs>
              <w:jc w:val="right"/>
              <w:rPr>
                <w:rFonts w:cs="Times New Roman"/>
                <w:spacing w:val="-2"/>
                <w:sz w:val="18"/>
                <w:szCs w:val="18"/>
              </w:rPr>
            </w:pPr>
            <w:r w:rsidRPr="00227F02">
              <w:rPr>
                <w:rFonts w:cs="Times New Roman"/>
                <w:spacing w:val="-2"/>
                <w:position w:val="1"/>
                <w:sz w:val="18"/>
                <w:szCs w:val="18"/>
              </w:rPr>
              <w:t>2 544 001</w:t>
            </w:r>
            <w:r>
              <w:rPr>
                <w:rFonts w:cs="Times New Roman"/>
                <w:spacing w:val="-2"/>
                <w:sz w:val="18"/>
                <w:szCs w:val="18"/>
              </w:rPr>
              <w:t xml:space="preserve"> </w:t>
            </w:r>
          </w:p>
        </w:tc>
        <w:tc>
          <w:tcPr>
            <w:tcW w:w="357" w:type="dxa"/>
            <w:tcBorders>
              <w:left w:val="nil"/>
              <w:right w:val="nil"/>
            </w:tcBorders>
            <w:vAlign w:val="center"/>
          </w:tcPr>
          <w:p w14:paraId="75F14A51" w14:textId="54635D19"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46E93BF0" w14:textId="54DA68D4"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5 088 000</w:t>
            </w:r>
          </w:p>
        </w:tc>
        <w:tc>
          <w:tcPr>
            <w:tcW w:w="2074" w:type="dxa"/>
            <w:vAlign w:val="center"/>
          </w:tcPr>
          <w:p w14:paraId="1CCD3483" w14:textId="0C08C138"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12 720,00 + 6,25% of cost</w:t>
            </w:r>
          </w:p>
        </w:tc>
        <w:tc>
          <w:tcPr>
            <w:tcW w:w="2074" w:type="dxa"/>
            <w:vAlign w:val="center"/>
          </w:tcPr>
          <w:p w14:paraId="076453E5"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12 720,00 + 5,25% of cost</w:t>
            </w:r>
          </w:p>
        </w:tc>
        <w:tc>
          <w:tcPr>
            <w:tcW w:w="2073" w:type="dxa"/>
            <w:vAlign w:val="center"/>
          </w:tcPr>
          <w:p w14:paraId="2EF33B8E"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12 720,00 + 7,25% of cost</w:t>
            </w:r>
          </w:p>
        </w:tc>
      </w:tr>
      <w:tr w:rsidR="001F6E7C" w:rsidRPr="00227F02" w14:paraId="36163C90" w14:textId="77777777" w:rsidTr="00B23FD0">
        <w:trPr>
          <w:jc w:val="center"/>
        </w:trPr>
        <w:tc>
          <w:tcPr>
            <w:tcW w:w="846" w:type="dxa"/>
            <w:tcBorders>
              <w:right w:val="nil"/>
            </w:tcBorders>
            <w:vAlign w:val="center"/>
          </w:tcPr>
          <w:p w14:paraId="77E3C5F4" w14:textId="38288258" w:rsidR="00872924" w:rsidRPr="00227F02" w:rsidRDefault="00872924" w:rsidP="00CA5C78">
            <w:pPr>
              <w:pStyle w:val="TableParagraph"/>
              <w:tabs>
                <w:tab w:val="left" w:pos="1190"/>
                <w:tab w:val="left" w:pos="1590"/>
              </w:tabs>
              <w:jc w:val="right"/>
              <w:rPr>
                <w:rFonts w:cs="Times New Roman"/>
                <w:spacing w:val="-2"/>
                <w:sz w:val="18"/>
                <w:szCs w:val="18"/>
              </w:rPr>
            </w:pPr>
            <w:r w:rsidRPr="00227F02">
              <w:rPr>
                <w:rFonts w:cs="Times New Roman"/>
                <w:spacing w:val="-2"/>
                <w:sz w:val="18"/>
                <w:szCs w:val="18"/>
              </w:rPr>
              <w:t>5 088 001</w:t>
            </w:r>
            <w:r>
              <w:rPr>
                <w:rFonts w:cs="Times New Roman"/>
                <w:spacing w:val="-2"/>
                <w:sz w:val="18"/>
                <w:szCs w:val="18"/>
              </w:rPr>
              <w:t xml:space="preserve"> </w:t>
            </w:r>
          </w:p>
        </w:tc>
        <w:tc>
          <w:tcPr>
            <w:tcW w:w="357" w:type="dxa"/>
            <w:tcBorders>
              <w:left w:val="nil"/>
              <w:right w:val="nil"/>
            </w:tcBorders>
            <w:vAlign w:val="center"/>
          </w:tcPr>
          <w:p w14:paraId="23039DDC" w14:textId="02F7605A"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1DBD5B5F" w14:textId="3D842FDA"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10 176 000</w:t>
            </w:r>
          </w:p>
        </w:tc>
        <w:tc>
          <w:tcPr>
            <w:tcW w:w="2074" w:type="dxa"/>
            <w:vAlign w:val="center"/>
          </w:tcPr>
          <w:p w14:paraId="782E18EC" w14:textId="7CAD41AC"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25 440,00 + 6,0% of cost</w:t>
            </w:r>
          </w:p>
        </w:tc>
        <w:tc>
          <w:tcPr>
            <w:tcW w:w="2074" w:type="dxa"/>
            <w:vAlign w:val="center"/>
          </w:tcPr>
          <w:p w14:paraId="1B7F1C88"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25 440,00 + 5,0% of cost</w:t>
            </w:r>
          </w:p>
        </w:tc>
        <w:tc>
          <w:tcPr>
            <w:tcW w:w="2073" w:type="dxa"/>
            <w:vAlign w:val="center"/>
          </w:tcPr>
          <w:p w14:paraId="76765E8D"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25 440,00 + 7,0% of cost</w:t>
            </w:r>
          </w:p>
        </w:tc>
      </w:tr>
      <w:tr w:rsidR="001F6E7C" w:rsidRPr="00227F02" w14:paraId="10DBEA39" w14:textId="77777777" w:rsidTr="00B23FD0">
        <w:trPr>
          <w:jc w:val="center"/>
        </w:trPr>
        <w:tc>
          <w:tcPr>
            <w:tcW w:w="846" w:type="dxa"/>
            <w:tcBorders>
              <w:right w:val="nil"/>
            </w:tcBorders>
            <w:vAlign w:val="center"/>
          </w:tcPr>
          <w:p w14:paraId="0E1E252D" w14:textId="5A874AD1" w:rsidR="00872924" w:rsidRPr="00227F02" w:rsidRDefault="00872924" w:rsidP="00CA5C78">
            <w:pPr>
              <w:pStyle w:val="TableParagraph"/>
              <w:tabs>
                <w:tab w:val="left" w:pos="1296"/>
                <w:tab w:val="left" w:pos="1698"/>
              </w:tabs>
              <w:jc w:val="right"/>
              <w:rPr>
                <w:rFonts w:cs="Times New Roman"/>
                <w:spacing w:val="-2"/>
                <w:sz w:val="18"/>
                <w:szCs w:val="18"/>
              </w:rPr>
            </w:pPr>
            <w:r w:rsidRPr="00227F02">
              <w:rPr>
                <w:rFonts w:cs="Times New Roman"/>
                <w:spacing w:val="-2"/>
                <w:sz w:val="18"/>
                <w:szCs w:val="18"/>
              </w:rPr>
              <w:t>10176001</w:t>
            </w:r>
            <w:r>
              <w:rPr>
                <w:rFonts w:cs="Times New Roman"/>
                <w:spacing w:val="-2"/>
                <w:sz w:val="18"/>
                <w:szCs w:val="18"/>
              </w:rPr>
              <w:t xml:space="preserve"> </w:t>
            </w:r>
          </w:p>
        </w:tc>
        <w:tc>
          <w:tcPr>
            <w:tcW w:w="357" w:type="dxa"/>
            <w:tcBorders>
              <w:left w:val="nil"/>
              <w:right w:val="nil"/>
            </w:tcBorders>
            <w:vAlign w:val="center"/>
          </w:tcPr>
          <w:p w14:paraId="112FF810" w14:textId="67380F1F"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01E8D834" w14:textId="58E70574"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20 352 000</w:t>
            </w:r>
          </w:p>
        </w:tc>
        <w:tc>
          <w:tcPr>
            <w:tcW w:w="2074" w:type="dxa"/>
            <w:vAlign w:val="center"/>
          </w:tcPr>
          <w:p w14:paraId="3584E00D" w14:textId="046716F8"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50 880,00 + 5,75% of cost</w:t>
            </w:r>
          </w:p>
        </w:tc>
        <w:tc>
          <w:tcPr>
            <w:tcW w:w="2074" w:type="dxa"/>
            <w:vAlign w:val="center"/>
          </w:tcPr>
          <w:p w14:paraId="45942F1C"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50 880,00 + 4,75% of cost</w:t>
            </w:r>
          </w:p>
        </w:tc>
        <w:tc>
          <w:tcPr>
            <w:tcW w:w="2073" w:type="dxa"/>
            <w:vAlign w:val="center"/>
          </w:tcPr>
          <w:p w14:paraId="60E01D96"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50 880,00 + 6,75% of cost</w:t>
            </w:r>
          </w:p>
        </w:tc>
      </w:tr>
      <w:tr w:rsidR="001F6E7C" w:rsidRPr="00227F02" w14:paraId="18ED3C9B" w14:textId="77777777" w:rsidTr="00B23FD0">
        <w:trPr>
          <w:jc w:val="center"/>
        </w:trPr>
        <w:tc>
          <w:tcPr>
            <w:tcW w:w="846" w:type="dxa"/>
            <w:tcBorders>
              <w:right w:val="nil"/>
            </w:tcBorders>
            <w:vAlign w:val="center"/>
          </w:tcPr>
          <w:p w14:paraId="5FB5414E" w14:textId="5C9EE5D5" w:rsidR="00872924" w:rsidRPr="00227F02" w:rsidRDefault="00872924" w:rsidP="00CA5C78">
            <w:pPr>
              <w:pStyle w:val="TableParagraph"/>
              <w:tabs>
                <w:tab w:val="left" w:pos="1295"/>
                <w:tab w:val="left" w:pos="1692"/>
              </w:tabs>
              <w:jc w:val="right"/>
              <w:rPr>
                <w:rFonts w:cs="Times New Roman"/>
                <w:spacing w:val="-2"/>
                <w:sz w:val="18"/>
                <w:szCs w:val="18"/>
              </w:rPr>
            </w:pPr>
            <w:r w:rsidRPr="00227F02">
              <w:rPr>
                <w:rFonts w:cs="Times New Roman"/>
                <w:spacing w:val="-2"/>
                <w:sz w:val="18"/>
                <w:szCs w:val="18"/>
              </w:rPr>
              <w:t>20 352 001</w:t>
            </w:r>
            <w:r>
              <w:rPr>
                <w:rFonts w:cs="Times New Roman"/>
                <w:spacing w:val="-2"/>
                <w:sz w:val="18"/>
                <w:szCs w:val="18"/>
              </w:rPr>
              <w:t xml:space="preserve"> </w:t>
            </w:r>
          </w:p>
        </w:tc>
        <w:tc>
          <w:tcPr>
            <w:tcW w:w="357" w:type="dxa"/>
            <w:tcBorders>
              <w:left w:val="nil"/>
              <w:right w:val="nil"/>
            </w:tcBorders>
            <w:vAlign w:val="center"/>
          </w:tcPr>
          <w:p w14:paraId="1D4B1E39" w14:textId="6CA8FB77"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09511F6F" w14:textId="78E1BF1C"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40 704 000</w:t>
            </w:r>
          </w:p>
        </w:tc>
        <w:tc>
          <w:tcPr>
            <w:tcW w:w="2074" w:type="dxa"/>
            <w:vAlign w:val="center"/>
          </w:tcPr>
          <w:p w14:paraId="47973ACE" w14:textId="5CBAE78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101 760,00 + 5,5% of cost</w:t>
            </w:r>
          </w:p>
        </w:tc>
        <w:tc>
          <w:tcPr>
            <w:tcW w:w="2074" w:type="dxa"/>
            <w:vAlign w:val="center"/>
          </w:tcPr>
          <w:p w14:paraId="0FB7D924"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101 760,00 + 4,5% of cost</w:t>
            </w:r>
          </w:p>
        </w:tc>
        <w:tc>
          <w:tcPr>
            <w:tcW w:w="2073" w:type="dxa"/>
            <w:vAlign w:val="center"/>
          </w:tcPr>
          <w:p w14:paraId="1B11E790"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101 760,00 + 6,5% of cost</w:t>
            </w:r>
          </w:p>
        </w:tc>
      </w:tr>
      <w:tr w:rsidR="001F6E7C" w:rsidRPr="00227F02" w14:paraId="7DE08EC1" w14:textId="77777777" w:rsidTr="00B23FD0">
        <w:trPr>
          <w:jc w:val="center"/>
        </w:trPr>
        <w:tc>
          <w:tcPr>
            <w:tcW w:w="846" w:type="dxa"/>
            <w:tcBorders>
              <w:right w:val="nil"/>
            </w:tcBorders>
            <w:vAlign w:val="center"/>
          </w:tcPr>
          <w:p w14:paraId="603AD01C" w14:textId="0F75801E" w:rsidR="00872924" w:rsidRPr="00227F02" w:rsidRDefault="00872924" w:rsidP="00CA5C78">
            <w:pPr>
              <w:pStyle w:val="TableParagraph"/>
              <w:tabs>
                <w:tab w:val="left" w:pos="1298"/>
                <w:tab w:val="left" w:pos="1701"/>
              </w:tabs>
              <w:jc w:val="right"/>
              <w:rPr>
                <w:rFonts w:cs="Times New Roman"/>
                <w:spacing w:val="-2"/>
                <w:sz w:val="18"/>
                <w:szCs w:val="18"/>
              </w:rPr>
            </w:pPr>
            <w:r w:rsidRPr="00227F02">
              <w:rPr>
                <w:rFonts w:cs="Times New Roman"/>
                <w:spacing w:val="-2"/>
                <w:position w:val="1"/>
                <w:sz w:val="18"/>
                <w:szCs w:val="18"/>
              </w:rPr>
              <w:t>40 704 001</w:t>
            </w:r>
            <w:r>
              <w:rPr>
                <w:rFonts w:cs="Times New Roman"/>
                <w:spacing w:val="-2"/>
                <w:sz w:val="18"/>
                <w:szCs w:val="18"/>
              </w:rPr>
              <w:t xml:space="preserve"> </w:t>
            </w:r>
          </w:p>
        </w:tc>
        <w:tc>
          <w:tcPr>
            <w:tcW w:w="357" w:type="dxa"/>
            <w:tcBorders>
              <w:left w:val="nil"/>
              <w:right w:val="nil"/>
            </w:tcBorders>
            <w:vAlign w:val="center"/>
          </w:tcPr>
          <w:p w14:paraId="7133E454" w14:textId="29C407F5"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2433EB96" w14:textId="0F8B7800"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81408000</w:t>
            </w:r>
          </w:p>
        </w:tc>
        <w:tc>
          <w:tcPr>
            <w:tcW w:w="2074" w:type="dxa"/>
            <w:vAlign w:val="center"/>
          </w:tcPr>
          <w:p w14:paraId="4B4EBF27" w14:textId="082F9355"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203 520,00 + 5,25% of cost</w:t>
            </w:r>
          </w:p>
        </w:tc>
        <w:tc>
          <w:tcPr>
            <w:tcW w:w="2074" w:type="dxa"/>
            <w:vAlign w:val="center"/>
          </w:tcPr>
          <w:p w14:paraId="2708141C"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203 520,00 + 4,25% of cost</w:t>
            </w:r>
          </w:p>
        </w:tc>
        <w:tc>
          <w:tcPr>
            <w:tcW w:w="2073" w:type="dxa"/>
            <w:vAlign w:val="center"/>
          </w:tcPr>
          <w:p w14:paraId="7BF840F2"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203 520,00 + 6,25% of cost</w:t>
            </w:r>
          </w:p>
        </w:tc>
      </w:tr>
      <w:tr w:rsidR="00BF5816" w:rsidRPr="00227F02" w14:paraId="64469110" w14:textId="77777777" w:rsidTr="00B23FD0">
        <w:trPr>
          <w:jc w:val="center"/>
        </w:trPr>
        <w:tc>
          <w:tcPr>
            <w:tcW w:w="846" w:type="dxa"/>
            <w:tcBorders>
              <w:bottom w:val="single" w:sz="4" w:space="0" w:color="000000"/>
              <w:right w:val="nil"/>
            </w:tcBorders>
            <w:vAlign w:val="center"/>
          </w:tcPr>
          <w:p w14:paraId="2AD17248" w14:textId="0E66038A" w:rsidR="00872924" w:rsidRPr="00227F02" w:rsidRDefault="00872924" w:rsidP="00CA5C78">
            <w:pPr>
              <w:pStyle w:val="TableParagraph"/>
              <w:tabs>
                <w:tab w:val="left" w:pos="1303"/>
              </w:tabs>
              <w:jc w:val="right"/>
              <w:rPr>
                <w:rFonts w:cs="Times New Roman"/>
                <w:spacing w:val="-2"/>
                <w:sz w:val="18"/>
                <w:szCs w:val="18"/>
              </w:rPr>
            </w:pPr>
            <w:r w:rsidRPr="00227F02">
              <w:rPr>
                <w:rFonts w:cs="Times New Roman"/>
                <w:spacing w:val="-2"/>
                <w:position w:val="1"/>
                <w:sz w:val="18"/>
                <w:szCs w:val="18"/>
              </w:rPr>
              <w:t>81 408 001</w:t>
            </w:r>
            <w:r w:rsidRPr="00227F02">
              <w:rPr>
                <w:rFonts w:cs="Times New Roman"/>
                <w:spacing w:val="-2"/>
                <w:sz w:val="18"/>
                <w:szCs w:val="18"/>
              </w:rPr>
              <w:t xml:space="preserve"> </w:t>
            </w:r>
          </w:p>
        </w:tc>
        <w:tc>
          <w:tcPr>
            <w:tcW w:w="357" w:type="dxa"/>
            <w:tcBorders>
              <w:left w:val="nil"/>
              <w:bottom w:val="single" w:sz="4" w:space="0" w:color="000000"/>
              <w:right w:val="nil"/>
            </w:tcBorders>
            <w:vAlign w:val="center"/>
          </w:tcPr>
          <w:p w14:paraId="0AECBC10" w14:textId="60720211" w:rsidR="00872924" w:rsidRPr="00227F02" w:rsidRDefault="00872924" w:rsidP="00CA5C78">
            <w:pPr>
              <w:pStyle w:val="TableParagraph"/>
              <w:jc w:val="right"/>
              <w:rPr>
                <w:rFonts w:cs="Times New Roman"/>
                <w:spacing w:val="-2"/>
                <w:sz w:val="18"/>
                <w:szCs w:val="18"/>
              </w:rPr>
            </w:pPr>
            <w:r>
              <w:rPr>
                <w:rFonts w:cs="Times New Roman"/>
                <w:spacing w:val="-2"/>
                <w:sz w:val="18"/>
                <w:szCs w:val="18"/>
              </w:rPr>
              <w:t>to</w:t>
            </w:r>
          </w:p>
        </w:tc>
        <w:tc>
          <w:tcPr>
            <w:tcW w:w="1064" w:type="dxa"/>
            <w:tcBorders>
              <w:left w:val="nil"/>
            </w:tcBorders>
            <w:tcMar>
              <w:right w:w="57" w:type="dxa"/>
            </w:tcMar>
            <w:vAlign w:val="center"/>
          </w:tcPr>
          <w:p w14:paraId="4AAF80CD" w14:textId="4F17E5AF" w:rsidR="00872924" w:rsidRPr="00227F02" w:rsidRDefault="00872924" w:rsidP="00CA5C78">
            <w:pPr>
              <w:pStyle w:val="TableParagraph"/>
              <w:jc w:val="right"/>
              <w:rPr>
                <w:rFonts w:cs="Times New Roman"/>
                <w:spacing w:val="-2"/>
                <w:sz w:val="18"/>
                <w:szCs w:val="18"/>
              </w:rPr>
            </w:pPr>
            <w:r w:rsidRPr="00227F02">
              <w:rPr>
                <w:rFonts w:cs="Times New Roman"/>
                <w:spacing w:val="-2"/>
                <w:sz w:val="18"/>
                <w:szCs w:val="18"/>
              </w:rPr>
              <w:t>161 816 000</w:t>
            </w:r>
          </w:p>
        </w:tc>
        <w:tc>
          <w:tcPr>
            <w:tcW w:w="2074" w:type="dxa"/>
            <w:vAlign w:val="center"/>
          </w:tcPr>
          <w:p w14:paraId="401A0AD9" w14:textId="76E1ACCF"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407 040,00 + 5,0% of cost</w:t>
            </w:r>
          </w:p>
        </w:tc>
        <w:tc>
          <w:tcPr>
            <w:tcW w:w="2074" w:type="dxa"/>
            <w:vAlign w:val="center"/>
          </w:tcPr>
          <w:p w14:paraId="421F06BE"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407 040,00 + 4,0% of cost</w:t>
            </w:r>
          </w:p>
        </w:tc>
        <w:tc>
          <w:tcPr>
            <w:tcW w:w="2073" w:type="dxa"/>
            <w:vAlign w:val="center"/>
          </w:tcPr>
          <w:p w14:paraId="3B526DAE" w14:textId="77777777" w:rsidR="00872924" w:rsidRPr="00227F02" w:rsidRDefault="00872924" w:rsidP="00872924">
            <w:pPr>
              <w:pStyle w:val="TableParagraph"/>
              <w:jc w:val="center"/>
              <w:rPr>
                <w:rFonts w:cs="Times New Roman"/>
                <w:spacing w:val="-2"/>
                <w:sz w:val="18"/>
                <w:szCs w:val="18"/>
              </w:rPr>
            </w:pPr>
            <w:r w:rsidRPr="00227F02">
              <w:rPr>
                <w:rFonts w:cs="Times New Roman"/>
                <w:spacing w:val="-2"/>
                <w:sz w:val="18"/>
                <w:szCs w:val="18"/>
              </w:rPr>
              <w:t>407 040,00 + 6,0% of cost</w:t>
            </w:r>
          </w:p>
        </w:tc>
      </w:tr>
      <w:tr w:rsidR="001F6E7C" w:rsidRPr="00227F02" w14:paraId="7D187E95" w14:textId="77777777" w:rsidTr="00954EE1">
        <w:trPr>
          <w:jc w:val="center"/>
        </w:trPr>
        <w:tc>
          <w:tcPr>
            <w:tcW w:w="2267" w:type="dxa"/>
            <w:gridSpan w:val="3"/>
            <w:tcMar>
              <w:right w:w="57" w:type="dxa"/>
            </w:tcMar>
            <w:vAlign w:val="center"/>
          </w:tcPr>
          <w:p w14:paraId="28D2C27E" w14:textId="15C643ED" w:rsidR="001F6E7C" w:rsidRPr="00227F02" w:rsidRDefault="001F6E7C" w:rsidP="001F6E7C">
            <w:pPr>
              <w:pStyle w:val="TableParagraph"/>
              <w:jc w:val="right"/>
              <w:rPr>
                <w:rFonts w:cs="Times New Roman"/>
                <w:spacing w:val="-2"/>
                <w:sz w:val="18"/>
                <w:szCs w:val="18"/>
              </w:rPr>
            </w:pPr>
            <w:r w:rsidRPr="00227F02">
              <w:rPr>
                <w:rFonts w:cs="Times New Roman"/>
                <w:spacing w:val="-2"/>
                <w:sz w:val="18"/>
                <w:szCs w:val="18"/>
              </w:rPr>
              <w:t>Over 162 816 000</w:t>
            </w:r>
          </w:p>
        </w:tc>
        <w:tc>
          <w:tcPr>
            <w:tcW w:w="2074" w:type="dxa"/>
            <w:vAlign w:val="center"/>
          </w:tcPr>
          <w:p w14:paraId="394D3402" w14:textId="49ED1F33" w:rsidR="001F6E7C" w:rsidRPr="00227F02" w:rsidRDefault="001F6E7C" w:rsidP="00872924">
            <w:pPr>
              <w:pStyle w:val="TableParagraph"/>
              <w:jc w:val="center"/>
              <w:rPr>
                <w:rFonts w:cs="Times New Roman"/>
                <w:spacing w:val="-2"/>
                <w:sz w:val="18"/>
                <w:szCs w:val="18"/>
              </w:rPr>
            </w:pPr>
            <w:r w:rsidRPr="00227F02">
              <w:rPr>
                <w:rFonts w:cs="Times New Roman"/>
                <w:spacing w:val="-2"/>
                <w:sz w:val="18"/>
                <w:szCs w:val="18"/>
              </w:rPr>
              <w:t>0,00 + 5,25% of cost</w:t>
            </w:r>
          </w:p>
        </w:tc>
        <w:tc>
          <w:tcPr>
            <w:tcW w:w="2074" w:type="dxa"/>
            <w:vAlign w:val="center"/>
          </w:tcPr>
          <w:p w14:paraId="61D10FA9" w14:textId="77777777" w:rsidR="001F6E7C" w:rsidRPr="00227F02" w:rsidRDefault="001F6E7C" w:rsidP="00872924">
            <w:pPr>
              <w:pStyle w:val="TableParagraph"/>
              <w:jc w:val="center"/>
              <w:rPr>
                <w:rFonts w:cs="Times New Roman"/>
                <w:spacing w:val="-2"/>
                <w:sz w:val="18"/>
                <w:szCs w:val="18"/>
              </w:rPr>
            </w:pPr>
            <w:r w:rsidRPr="00227F02">
              <w:rPr>
                <w:rFonts w:cs="Times New Roman"/>
                <w:spacing w:val="-2"/>
                <w:sz w:val="18"/>
                <w:szCs w:val="18"/>
              </w:rPr>
              <w:t>0,00 + 4,25% of cost</w:t>
            </w:r>
          </w:p>
        </w:tc>
        <w:tc>
          <w:tcPr>
            <w:tcW w:w="2073" w:type="dxa"/>
            <w:vAlign w:val="center"/>
          </w:tcPr>
          <w:p w14:paraId="2C52BC8F" w14:textId="77777777" w:rsidR="001F6E7C" w:rsidRPr="00227F02" w:rsidRDefault="001F6E7C" w:rsidP="00872924">
            <w:pPr>
              <w:pStyle w:val="TableParagraph"/>
              <w:jc w:val="center"/>
              <w:rPr>
                <w:rFonts w:cs="Times New Roman"/>
                <w:spacing w:val="-2"/>
                <w:sz w:val="18"/>
                <w:szCs w:val="18"/>
              </w:rPr>
            </w:pPr>
            <w:r w:rsidRPr="00227F02">
              <w:rPr>
                <w:rFonts w:cs="Times New Roman"/>
                <w:spacing w:val="-2"/>
                <w:sz w:val="18"/>
                <w:szCs w:val="18"/>
              </w:rPr>
              <w:t>0,00 + 6,25% of cost</w:t>
            </w:r>
          </w:p>
        </w:tc>
      </w:tr>
    </w:tbl>
    <w:p w14:paraId="011BA97F" w14:textId="77777777" w:rsidR="00A32D09" w:rsidRDefault="00A32D09" w:rsidP="00C90916">
      <w:pPr>
        <w:pStyle w:val="REG-H3A"/>
        <w:jc w:val="left"/>
      </w:pPr>
    </w:p>
    <w:p w14:paraId="0375AC0A" w14:textId="77777777" w:rsidR="009B2539" w:rsidRDefault="009B2539" w:rsidP="00203548">
      <w:pPr>
        <w:pStyle w:val="REG-P0"/>
        <w:jc w:val="center"/>
        <w:rPr>
          <w:b/>
        </w:rPr>
      </w:pPr>
    </w:p>
    <w:p w14:paraId="1D422509" w14:textId="1B5E15C3" w:rsidR="00A32D09" w:rsidRPr="00203548" w:rsidRDefault="00A32D09" w:rsidP="00203548">
      <w:pPr>
        <w:pStyle w:val="REG-P0"/>
        <w:jc w:val="center"/>
        <w:rPr>
          <w:b/>
        </w:rPr>
      </w:pPr>
      <w:r w:rsidRPr="00203548">
        <w:rPr>
          <w:b/>
        </w:rPr>
        <w:t>ANNEXURE 2</w:t>
      </w:r>
    </w:p>
    <w:p w14:paraId="0D939115" w14:textId="77777777" w:rsidR="00A32D09" w:rsidRDefault="00A32D09" w:rsidP="00203548">
      <w:pPr>
        <w:pStyle w:val="REG-P0"/>
        <w:jc w:val="center"/>
      </w:pPr>
    </w:p>
    <w:p w14:paraId="71318431" w14:textId="77777777" w:rsidR="00C90916" w:rsidRDefault="00C90916" w:rsidP="00203548">
      <w:pPr>
        <w:pStyle w:val="REG-P0"/>
        <w:jc w:val="center"/>
      </w:pPr>
      <w:r>
        <w:rPr>
          <w:w w:val="105"/>
        </w:rPr>
        <w:t>HOURLY</w:t>
      </w:r>
      <w:r>
        <w:rPr>
          <w:spacing w:val="-17"/>
          <w:w w:val="105"/>
        </w:rPr>
        <w:t xml:space="preserve"> </w:t>
      </w:r>
      <w:r>
        <w:rPr>
          <w:w w:val="105"/>
        </w:rPr>
        <w:t>RATES</w:t>
      </w:r>
    </w:p>
    <w:p w14:paraId="13A93EC8" w14:textId="77777777" w:rsidR="00C90916" w:rsidRDefault="00C90916" w:rsidP="00203548">
      <w:pPr>
        <w:pStyle w:val="REG-P0"/>
        <w:jc w:val="center"/>
        <w:rPr>
          <w:b/>
          <w:sz w:val="23"/>
        </w:rPr>
      </w:pPr>
    </w:p>
    <w:p w14:paraId="5EDA3AF9" w14:textId="77777777" w:rsidR="00C90916" w:rsidRPr="00C90916" w:rsidRDefault="00C90916" w:rsidP="00C90916">
      <w:pPr>
        <w:pStyle w:val="REG-Pa"/>
      </w:pPr>
      <w:r>
        <w:t>(i)</w:t>
      </w:r>
      <w:r>
        <w:tab/>
      </w:r>
      <w:r w:rsidRPr="00C90916">
        <w:t>Principal, partner, or director: Minimum hourly rates as determined by the Namibia Council for Architects and Quantity Surveyors; provided that this hourly rate shall be deemed to include establishment charges and charges in respect of time expended by clerical staff which shall therefore, not be chargeable separately.</w:t>
      </w:r>
    </w:p>
    <w:p w14:paraId="751544C3" w14:textId="77777777" w:rsidR="00C90916" w:rsidRPr="00C90916" w:rsidRDefault="00C90916" w:rsidP="00C90916">
      <w:pPr>
        <w:pStyle w:val="REG-Pa"/>
      </w:pPr>
    </w:p>
    <w:p w14:paraId="4BFBD2AB" w14:textId="77777777" w:rsidR="00C90916" w:rsidRPr="00C90916" w:rsidRDefault="00C90916" w:rsidP="00C90916">
      <w:pPr>
        <w:pStyle w:val="REG-Pa"/>
      </w:pPr>
      <w:r>
        <w:t>(ii)</w:t>
      </w:r>
      <w:r>
        <w:tab/>
      </w:r>
      <w:r w:rsidRPr="00C90916">
        <w:t>Salaried professional and technical  staff:</w:t>
      </w:r>
      <w:r>
        <w:t xml:space="preserve"> </w:t>
      </w:r>
      <w:r w:rsidRPr="00C90916">
        <w:t>15 cents per hour per N$10</w:t>
      </w:r>
      <w:r w:rsidR="00203548">
        <w:t>0 or part thereof of the person’</w:t>
      </w:r>
      <w:r w:rsidRPr="00C90916">
        <w:t>s total annual salary including regular bonus, if any, rounded off to the nearest dollar; provided that this hourly rate shall be deemed to include establishment charges and charges in respect of time expended by clerical staff which shall therefore not be charged separately: Provided that this hourly rate shall not exceed 15 cents per hour per N$100 or part thereof of the total annua</w:t>
      </w:r>
      <w:r w:rsidR="00203548">
        <w:t>l salary attached to a Director’</w:t>
      </w:r>
      <w:r w:rsidRPr="00C90916">
        <w:t>s grading in the Public Service, unless by prior agreement</w:t>
      </w:r>
    </w:p>
    <w:p w14:paraId="16CDBE45" w14:textId="77777777" w:rsidR="007C2742" w:rsidRPr="00592E14" w:rsidRDefault="00206481" w:rsidP="007C2742">
      <w:pPr>
        <w:pStyle w:val="REG-H3b"/>
        <w:rPr>
          <w:b/>
        </w:rPr>
      </w:pPr>
      <w:r w:rsidRPr="00097CE5">
        <w:br w:type="page"/>
      </w:r>
      <w:r w:rsidRPr="00592E14">
        <w:rPr>
          <w:b/>
        </w:rPr>
        <w:t xml:space="preserve">SCHEDULE </w:t>
      </w:r>
      <w:r>
        <w:rPr>
          <w:b/>
        </w:rPr>
        <w:t>B</w:t>
      </w:r>
    </w:p>
    <w:p w14:paraId="6E090FDE" w14:textId="77777777" w:rsidR="007C2742" w:rsidRPr="00592E14" w:rsidRDefault="007C2742" w:rsidP="007C2742">
      <w:pPr>
        <w:pStyle w:val="REG-H3b"/>
        <w:rPr>
          <w:b/>
        </w:rPr>
      </w:pPr>
    </w:p>
    <w:p w14:paraId="6CB29754" w14:textId="77777777" w:rsidR="007C2742" w:rsidRDefault="00206481" w:rsidP="007C2742">
      <w:pPr>
        <w:pStyle w:val="REG-H3b"/>
        <w:rPr>
          <w:b/>
        </w:rPr>
      </w:pPr>
      <w:r w:rsidRPr="00592E14">
        <w:rPr>
          <w:b/>
        </w:rPr>
        <w:t xml:space="preserve">TARIFF OF </w:t>
      </w:r>
      <w:r>
        <w:rPr>
          <w:b/>
        </w:rPr>
        <w:t xml:space="preserve">PROFESSIONAL </w:t>
      </w:r>
      <w:r w:rsidRPr="00592E14">
        <w:rPr>
          <w:b/>
        </w:rPr>
        <w:t xml:space="preserve">FEES </w:t>
      </w:r>
      <w:r>
        <w:rPr>
          <w:b/>
        </w:rPr>
        <w:t>IN RESPECT OF SERVICES</w:t>
      </w:r>
    </w:p>
    <w:p w14:paraId="1A647012" w14:textId="77777777" w:rsidR="007C2742" w:rsidRPr="00592E14" w:rsidRDefault="00206481" w:rsidP="007C2742">
      <w:pPr>
        <w:pStyle w:val="REG-H3b"/>
        <w:rPr>
          <w:b/>
        </w:rPr>
      </w:pPr>
      <w:r>
        <w:rPr>
          <w:b/>
        </w:rPr>
        <w:t>RENDERED BY A QUANTITY SURVEYOR</w:t>
      </w:r>
    </w:p>
    <w:p w14:paraId="1A2C3470" w14:textId="77777777" w:rsidR="00B12C91" w:rsidRDefault="00B12C91" w:rsidP="007C2742">
      <w:pPr>
        <w:pStyle w:val="REG-P0"/>
      </w:pPr>
    </w:p>
    <w:p w14:paraId="2CE4749F" w14:textId="77777777" w:rsidR="00C42D38" w:rsidRPr="002875AB" w:rsidRDefault="00206481" w:rsidP="002875AB">
      <w:pPr>
        <w:pStyle w:val="REG-P0"/>
        <w:rPr>
          <w:b/>
        </w:rPr>
      </w:pPr>
      <w:r w:rsidRPr="002875AB">
        <w:rPr>
          <w:b/>
        </w:rPr>
        <w:t>Definitions</w:t>
      </w:r>
    </w:p>
    <w:p w14:paraId="535AB99F" w14:textId="77777777" w:rsidR="00C42D38" w:rsidRDefault="00C42D38" w:rsidP="00C42D38">
      <w:pPr>
        <w:pStyle w:val="REG-P0"/>
        <w:rPr>
          <w:sz w:val="26"/>
        </w:rPr>
      </w:pPr>
    </w:p>
    <w:p w14:paraId="5A8FFC00" w14:textId="77777777" w:rsidR="00C42D38" w:rsidRPr="002875AB" w:rsidRDefault="00206481" w:rsidP="002875AB">
      <w:pPr>
        <w:pStyle w:val="REG-P1"/>
      </w:pPr>
      <w:r w:rsidRPr="002875AB">
        <w:rPr>
          <w:b/>
        </w:rPr>
        <w:t>1.</w:t>
      </w:r>
      <w:r w:rsidRPr="002875AB">
        <w:tab/>
        <w:t>In this Schedule, unless the context otherwise indicates, a word or expression defined in the Architects</w:t>
      </w:r>
      <w:r w:rsidR="00203548" w:rsidRPr="002875AB">
        <w:t>’</w:t>
      </w:r>
      <w:r w:rsidRPr="002875AB">
        <w:t xml:space="preserve"> and Quantity Surveyors</w:t>
      </w:r>
      <w:r w:rsidR="00203548" w:rsidRPr="002875AB">
        <w:t>’</w:t>
      </w:r>
      <w:r w:rsidRPr="002875AB">
        <w:t xml:space="preserve"> Act, 1979 (Act No. 13 of 1979) has that meaning, and</w:t>
      </w:r>
      <w:r w:rsidR="002875AB">
        <w:t> </w:t>
      </w:r>
      <w:r w:rsidRPr="002875AB">
        <w:t>-</w:t>
      </w:r>
    </w:p>
    <w:p w14:paraId="60C373C6" w14:textId="77777777" w:rsidR="00C42D38" w:rsidRDefault="00C42D38" w:rsidP="00C42D38">
      <w:pPr>
        <w:pStyle w:val="REG-P0"/>
        <w:rPr>
          <w:sz w:val="23"/>
        </w:rPr>
      </w:pPr>
    </w:p>
    <w:p w14:paraId="453D62B9" w14:textId="77777777" w:rsidR="00C42D38" w:rsidRPr="002875AB" w:rsidRDefault="00206481" w:rsidP="002875AB">
      <w:pPr>
        <w:pStyle w:val="REG-P0"/>
      </w:pPr>
      <w:r w:rsidRPr="002875AB">
        <w:rPr>
          <w:b/>
        </w:rPr>
        <w:t>“affordable housing”</w:t>
      </w:r>
      <w:r w:rsidRPr="002875AB">
        <w:t xml:space="preserve"> means single housing units not exceeding 100 m2 and of simple design and modest specification;</w:t>
      </w:r>
    </w:p>
    <w:p w14:paraId="5F012D58" w14:textId="77777777" w:rsidR="00C42D38" w:rsidRPr="002875AB" w:rsidRDefault="00C42D38" w:rsidP="002875AB">
      <w:pPr>
        <w:pStyle w:val="REG-P0"/>
      </w:pPr>
    </w:p>
    <w:p w14:paraId="4B357683" w14:textId="77777777" w:rsidR="00C42D38" w:rsidRPr="002875AB" w:rsidRDefault="00206481" w:rsidP="002875AB">
      <w:pPr>
        <w:pStyle w:val="REG-P0"/>
      </w:pPr>
      <w:r w:rsidRPr="002875AB">
        <w:rPr>
          <w:b/>
        </w:rPr>
        <w:t>“alteration works”</w:t>
      </w:r>
      <w:r w:rsidRPr="002875AB">
        <w:t xml:space="preserve"> means works documented in accordance with the provisions of “Alterations” in the latest edition of the Standard System of Measuring Building Work published by the Association of South African Quantity Surveyors and shall exclude </w:t>
      </w:r>
      <w:r w:rsidRPr="000A60F3">
        <w:rPr>
          <w:b/>
        </w:rPr>
        <w:t>redecoration works</w:t>
      </w:r>
      <w:r w:rsidRPr="002875AB">
        <w:t xml:space="preserve"> and </w:t>
      </w:r>
      <w:r w:rsidRPr="000A60F3">
        <w:rPr>
          <w:b/>
        </w:rPr>
        <w:t>new works to existing structures</w:t>
      </w:r>
      <w:r w:rsidRPr="002875AB">
        <w:t>;</w:t>
      </w:r>
    </w:p>
    <w:p w14:paraId="5D106EDB" w14:textId="77777777" w:rsidR="00C42D38" w:rsidRPr="002875AB" w:rsidRDefault="00C42D38" w:rsidP="002875AB">
      <w:pPr>
        <w:pStyle w:val="REG-P0"/>
      </w:pPr>
    </w:p>
    <w:p w14:paraId="5A79BDA5" w14:textId="77777777" w:rsidR="00C42D38" w:rsidRPr="002875AB" w:rsidRDefault="00206481" w:rsidP="002875AB">
      <w:pPr>
        <w:pStyle w:val="REG-P0"/>
      </w:pPr>
      <w:r w:rsidRPr="002875AB">
        <w:rPr>
          <w:b/>
        </w:rPr>
        <w:t>“appropriate percentage”</w:t>
      </w:r>
      <w:r w:rsidRPr="002875AB">
        <w:t xml:space="preserve"> means the appropriate percentage as set out in paragraph 2(5) or 2(8)(f), as the case may be;</w:t>
      </w:r>
    </w:p>
    <w:p w14:paraId="0B6D46F9" w14:textId="77777777" w:rsidR="00C42D38" w:rsidRPr="002875AB" w:rsidRDefault="00C42D38" w:rsidP="002875AB">
      <w:pPr>
        <w:pStyle w:val="REG-P0"/>
      </w:pPr>
    </w:p>
    <w:p w14:paraId="7A4884BD" w14:textId="77777777" w:rsidR="00C42D38" w:rsidRPr="000A60F3" w:rsidRDefault="00206481" w:rsidP="002875AB">
      <w:pPr>
        <w:pStyle w:val="REG-P0"/>
      </w:pPr>
      <w:r w:rsidRPr="002875AB">
        <w:rPr>
          <w:b/>
        </w:rPr>
        <w:t>“basic fee”</w:t>
      </w:r>
      <w:r w:rsidRPr="002875AB">
        <w:t xml:space="preserve"> </w:t>
      </w:r>
      <w:r w:rsidRPr="000A60F3">
        <w:t>means the sum of the fees set out in columns 2 and 3 of paragraph 2(4) and shall be calculated in accordance with paragraph 2(1), (2) and (3);</w:t>
      </w:r>
    </w:p>
    <w:p w14:paraId="4B192F09" w14:textId="77777777" w:rsidR="00C42D38" w:rsidRPr="002875AB" w:rsidRDefault="00C42D38" w:rsidP="002875AB">
      <w:pPr>
        <w:pStyle w:val="REG-P0"/>
      </w:pPr>
    </w:p>
    <w:p w14:paraId="202E4729" w14:textId="77777777" w:rsidR="00C42D38" w:rsidRPr="002875AB" w:rsidRDefault="00206481" w:rsidP="002875AB">
      <w:pPr>
        <w:pStyle w:val="REG-P0"/>
      </w:pPr>
      <w:r w:rsidRPr="002875AB">
        <w:rPr>
          <w:b/>
        </w:rPr>
        <w:t>“building works”</w:t>
      </w:r>
      <w:r w:rsidRPr="002875AB">
        <w:t xml:space="preserve"> means works documented in accordance with the latest edition of the Standard System of Measuring Building Work published by the Association of South African Quantity Surveyors or, with reference to contracts without bills of quantities and cost plus contracts, building works of a similar nature;</w:t>
      </w:r>
    </w:p>
    <w:p w14:paraId="2A6CB009" w14:textId="77777777" w:rsidR="00C42D38" w:rsidRPr="002875AB" w:rsidRDefault="00C42D38" w:rsidP="002875AB">
      <w:pPr>
        <w:pStyle w:val="REG-P0"/>
      </w:pPr>
    </w:p>
    <w:p w14:paraId="26AA0F54" w14:textId="77777777" w:rsidR="00C42D38" w:rsidRPr="002875AB" w:rsidRDefault="00206481" w:rsidP="002875AB">
      <w:pPr>
        <w:pStyle w:val="REG-P0"/>
      </w:pPr>
      <w:r w:rsidRPr="002875AB">
        <w:rPr>
          <w:b/>
        </w:rPr>
        <w:t>“civil engineering works”</w:t>
      </w:r>
      <w:r w:rsidRPr="002875AB">
        <w:t xml:space="preserve"> means works documented in accordance with the method of measurement set out in the SABS 1200 (Standard Specifications for Civil Engineering Construction), published by the South African Bureau of Standards and separated into the following categories -</w:t>
      </w:r>
    </w:p>
    <w:p w14:paraId="651ADCFC" w14:textId="77777777" w:rsidR="00C42D38" w:rsidRDefault="00C42D38" w:rsidP="00C42D38">
      <w:pPr>
        <w:pStyle w:val="REG-P0"/>
        <w:rPr>
          <w:sz w:val="23"/>
        </w:rPr>
      </w:pPr>
    </w:p>
    <w:p w14:paraId="529C96B9" w14:textId="77777777" w:rsidR="00C42D38" w:rsidRPr="002875AB" w:rsidRDefault="00206481" w:rsidP="00B27161">
      <w:pPr>
        <w:pStyle w:val="REG-Pa"/>
        <w:ind w:left="567"/>
      </w:pPr>
      <w:r w:rsidRPr="002875AB">
        <w:t>(a)</w:t>
      </w:r>
      <w:r w:rsidRPr="002875AB">
        <w:tab/>
        <w:t>category 1: quays, jetties, dams, shafts, tunnels, airport runways and aprons, roads, railways, sports fields, earthworks and dredging; and</w:t>
      </w:r>
    </w:p>
    <w:p w14:paraId="5C4F159E" w14:textId="77777777" w:rsidR="00C42D38" w:rsidRPr="002875AB" w:rsidRDefault="00C42D38" w:rsidP="00B27161">
      <w:pPr>
        <w:pStyle w:val="REG-Pa"/>
        <w:ind w:left="567"/>
      </w:pPr>
    </w:p>
    <w:p w14:paraId="60FD2324" w14:textId="77777777" w:rsidR="00C42D38" w:rsidRPr="000A0973" w:rsidRDefault="00206481" w:rsidP="00B27161">
      <w:pPr>
        <w:pStyle w:val="REG-Pa"/>
        <w:ind w:left="567"/>
      </w:pPr>
      <w:r w:rsidRPr="002875AB">
        <w:t>(b)</w:t>
      </w:r>
      <w:r w:rsidRPr="002875AB">
        <w:tab/>
        <w:t>category 2: piled quay walls, suspended jetties and quays, bridges and their abutments, culverts, cooling and other towers, reservoirs, caissons, canals, aqueducts, sewers, pipelines, electric mains, storage and treatment tanks, structural steelwork, grain elevators, silos and structures for housing of or bases for heavy industrial and public utility plant, machinery and equipment such as furnace houses and rolling mills to steelworks, boiler houses, reactor and turbine blocks and turbine halls to electricity generating stations, extraction and process plants;</w:t>
      </w:r>
    </w:p>
    <w:p w14:paraId="6A3A06A0" w14:textId="77777777" w:rsidR="007C2742" w:rsidRDefault="007C2742" w:rsidP="00C42D38">
      <w:pPr>
        <w:pStyle w:val="REG-P0"/>
      </w:pPr>
    </w:p>
    <w:p w14:paraId="4F1D0D34" w14:textId="77777777" w:rsidR="00C42D38" w:rsidRPr="002875AB" w:rsidRDefault="00206481" w:rsidP="002875AB">
      <w:pPr>
        <w:pStyle w:val="REG-P0"/>
      </w:pPr>
      <w:r w:rsidRPr="002875AB">
        <w:rPr>
          <w:b/>
        </w:rPr>
        <w:t>“civil engineering works ancillary to building works”</w:t>
      </w:r>
      <w:r w:rsidRPr="002875AB">
        <w:t xml:space="preserve"> shall be limited to the following -</w:t>
      </w:r>
    </w:p>
    <w:p w14:paraId="28905F01" w14:textId="77777777" w:rsidR="00C42D38" w:rsidRDefault="00C42D38" w:rsidP="00C42D38">
      <w:pPr>
        <w:pStyle w:val="REG-P0"/>
        <w:rPr>
          <w:sz w:val="23"/>
        </w:rPr>
      </w:pPr>
    </w:p>
    <w:p w14:paraId="45997E68" w14:textId="77777777" w:rsidR="00C42D38" w:rsidRPr="002875AB" w:rsidRDefault="00206481" w:rsidP="00B27161">
      <w:pPr>
        <w:pStyle w:val="REG-Pa"/>
        <w:ind w:left="567"/>
      </w:pPr>
      <w:r w:rsidRPr="002875AB">
        <w:t>(a)</w:t>
      </w:r>
      <w:r w:rsidR="000A0973" w:rsidRPr="002875AB">
        <w:tab/>
      </w:r>
      <w:r w:rsidRPr="002875AB">
        <w:t>main reticulations (storm water, sewer and water) outside the defined area of the building</w:t>
      </w:r>
      <w:r w:rsidR="000A0973" w:rsidRPr="002875AB">
        <w:t xml:space="preserve"> s</w:t>
      </w:r>
      <w:r w:rsidRPr="002875AB">
        <w:t>ite;</w:t>
      </w:r>
    </w:p>
    <w:p w14:paraId="2C933BD7" w14:textId="77777777" w:rsidR="00C42D38" w:rsidRPr="002875AB" w:rsidRDefault="00C42D38" w:rsidP="00B27161">
      <w:pPr>
        <w:pStyle w:val="REG-Pa"/>
        <w:ind w:left="567"/>
      </w:pPr>
    </w:p>
    <w:p w14:paraId="276B7BB4" w14:textId="77777777" w:rsidR="00C42D38" w:rsidRPr="002875AB" w:rsidRDefault="00206481" w:rsidP="00B27161">
      <w:pPr>
        <w:pStyle w:val="REG-Pa"/>
        <w:ind w:left="567"/>
      </w:pPr>
      <w:r w:rsidRPr="002875AB">
        <w:t>(b)</w:t>
      </w:r>
      <w:r w:rsidRPr="002875AB">
        <w:tab/>
        <w:t>reservoirs;</w:t>
      </w:r>
    </w:p>
    <w:p w14:paraId="61755EA3" w14:textId="77777777" w:rsidR="00C42D38" w:rsidRPr="000A0973" w:rsidRDefault="00C42D38" w:rsidP="00B27161">
      <w:pPr>
        <w:pStyle w:val="REG-Pa"/>
        <w:ind w:left="567"/>
      </w:pPr>
    </w:p>
    <w:p w14:paraId="6EBC8088" w14:textId="77777777" w:rsidR="00C42D38" w:rsidRPr="000A0973" w:rsidRDefault="00206481" w:rsidP="00B27161">
      <w:pPr>
        <w:pStyle w:val="REG-Pa"/>
        <w:ind w:left="567"/>
      </w:pPr>
      <w:r w:rsidRPr="000A0973">
        <w:t>(c)</w:t>
      </w:r>
      <w:r w:rsidRPr="000A0973">
        <w:tab/>
        <w:t>roads; and</w:t>
      </w:r>
    </w:p>
    <w:p w14:paraId="509BE222" w14:textId="77777777" w:rsidR="00C42D38" w:rsidRPr="000A0973" w:rsidRDefault="00C42D38" w:rsidP="00B27161">
      <w:pPr>
        <w:pStyle w:val="REG-Pa"/>
        <w:ind w:left="567"/>
      </w:pPr>
    </w:p>
    <w:p w14:paraId="073F0E98" w14:textId="77777777" w:rsidR="00C42D38" w:rsidRPr="000A0973" w:rsidRDefault="00206481" w:rsidP="00B27161">
      <w:pPr>
        <w:pStyle w:val="REG-Pa"/>
        <w:ind w:left="567"/>
      </w:pPr>
      <w:r w:rsidRPr="000A0973">
        <w:t>(d)</w:t>
      </w:r>
      <w:r w:rsidRPr="000A0973">
        <w:tab/>
        <w:t>water towers;</w:t>
      </w:r>
    </w:p>
    <w:p w14:paraId="191F8156" w14:textId="77777777" w:rsidR="00C42D38" w:rsidRDefault="00C42D38" w:rsidP="00C42D38">
      <w:pPr>
        <w:pStyle w:val="REG-P0"/>
        <w:rPr>
          <w:sz w:val="26"/>
        </w:rPr>
      </w:pPr>
    </w:p>
    <w:p w14:paraId="68B188D8" w14:textId="77777777" w:rsidR="00C42D38" w:rsidRPr="00B27161" w:rsidRDefault="00206481" w:rsidP="00C42D38">
      <w:pPr>
        <w:pStyle w:val="REG-P0"/>
      </w:pPr>
      <w:r w:rsidRPr="00B27161">
        <w:rPr>
          <w:b/>
        </w:rPr>
        <w:t>“construction manager”</w:t>
      </w:r>
      <w:r>
        <w:rPr>
          <w:w w:val="105"/>
        </w:rPr>
        <w:t xml:space="preserve"> </w:t>
      </w:r>
      <w:r w:rsidRPr="00B27161">
        <w:t>means a quantity surveyor employed by his client as an agent to manage the construction of the works executed under multiple direct contracts but without the quantity surveyor accepting liability for the risks generally associated with the role of a contractor;</w:t>
      </w:r>
    </w:p>
    <w:p w14:paraId="7DDBC70B" w14:textId="77777777" w:rsidR="00C42D38" w:rsidRDefault="00C42D38" w:rsidP="00C42D38">
      <w:pPr>
        <w:pStyle w:val="REG-P0"/>
        <w:rPr>
          <w:sz w:val="23"/>
        </w:rPr>
      </w:pPr>
    </w:p>
    <w:p w14:paraId="736FE582" w14:textId="77777777" w:rsidR="00C42D38" w:rsidRPr="00B27161" w:rsidRDefault="00206481" w:rsidP="00C42D38">
      <w:pPr>
        <w:pStyle w:val="REG-P0"/>
      </w:pPr>
      <w:r w:rsidRPr="00B27161">
        <w:rPr>
          <w:b/>
        </w:rPr>
        <w:t>“contract value”</w:t>
      </w:r>
      <w:r>
        <w:rPr>
          <w:w w:val="105"/>
        </w:rPr>
        <w:t xml:space="preserve"> </w:t>
      </w:r>
      <w:r w:rsidRPr="00B27161">
        <w:t>means, for purposes of paragraph 2(2) the final value of the contract excluding contingencies, but including any amount of adjustment under any applicable contract price adjustment provisions: Provided that a fair estimate of the final value of the contract shall be used where no contract value is available as well as for purposes of calculating interim payment of fees;</w:t>
      </w:r>
    </w:p>
    <w:p w14:paraId="26C49773" w14:textId="77777777" w:rsidR="00C42D38" w:rsidRDefault="00C42D38" w:rsidP="00C42D38">
      <w:pPr>
        <w:pStyle w:val="REG-P0"/>
        <w:rPr>
          <w:sz w:val="23"/>
        </w:rPr>
      </w:pPr>
    </w:p>
    <w:p w14:paraId="5EF2EDEB" w14:textId="77777777" w:rsidR="00C42D38" w:rsidRPr="002875AB" w:rsidRDefault="00206481" w:rsidP="00C42D38">
      <w:pPr>
        <w:pStyle w:val="REG-P0"/>
      </w:pPr>
      <w:r w:rsidRPr="002875AB">
        <w:rPr>
          <w:b/>
        </w:rPr>
        <w:t>“cost norms”</w:t>
      </w:r>
      <w:r>
        <w:rPr>
          <w:w w:val="110"/>
        </w:rPr>
        <w:t xml:space="preserve"> </w:t>
      </w:r>
      <w:r w:rsidRPr="002875AB">
        <w:t>means cost norms prescribed by the client and, for purposes of paragraph 2(6), it is implied that from initial determination of needs and during the respective stages as defined hereunder (estimating and cost advice stage, documentation stage, contract administration stage and final account stage), the quantity surveyor is involved with and reports regarding calculation of space and cost limits from given accommodation lists, while compiling an elemental cost plan, monitoring and adjusting the project against the said cost plan as is necessary in order to maintain it within the prescribed limits, and on completion of the project submits reconciliation statements confirming compliance with the prescribed space and cost limits;</w:t>
      </w:r>
    </w:p>
    <w:p w14:paraId="289E33BA" w14:textId="77777777" w:rsidR="00C42D38" w:rsidRDefault="00C42D38" w:rsidP="00C42D38">
      <w:pPr>
        <w:pStyle w:val="REG-P0"/>
      </w:pPr>
    </w:p>
    <w:p w14:paraId="58333ADD" w14:textId="77777777" w:rsidR="00C42D38" w:rsidRPr="0050488A" w:rsidRDefault="00206481" w:rsidP="0050488A">
      <w:pPr>
        <w:pStyle w:val="REG-P0"/>
      </w:pPr>
      <w:r w:rsidRPr="0050488A">
        <w:rPr>
          <w:b/>
        </w:rPr>
        <w:t>“disbursements”</w:t>
      </w:r>
      <w:r>
        <w:rPr>
          <w:w w:val="110"/>
        </w:rPr>
        <w:t xml:space="preserve"> </w:t>
      </w:r>
      <w:r w:rsidRPr="0050488A">
        <w:t>means the cost of purchasing, typing, duplicating, printing and binding of documents and drawings other than correspondence and valuation for payment certificates and shall subject to agreement with the client, also include any other costs such as the cost of legal and specialist fees, courier services, facsimile transmissions and international communications;</w:t>
      </w:r>
    </w:p>
    <w:p w14:paraId="40661763" w14:textId="77777777" w:rsidR="00C42D38" w:rsidRPr="0050488A" w:rsidRDefault="00C42D38" w:rsidP="0050488A">
      <w:pPr>
        <w:pStyle w:val="REG-P0"/>
      </w:pPr>
    </w:p>
    <w:p w14:paraId="279C0868" w14:textId="77777777" w:rsidR="00C42D38" w:rsidRPr="002875AB" w:rsidRDefault="00206481" w:rsidP="00C42D38">
      <w:pPr>
        <w:pStyle w:val="REG-P0"/>
      </w:pPr>
      <w:r w:rsidRPr="002875AB">
        <w:rPr>
          <w:b/>
        </w:rPr>
        <w:t>“electrical engineering works”</w:t>
      </w:r>
      <w:r>
        <w:rPr>
          <w:w w:val="105"/>
        </w:rPr>
        <w:t xml:space="preserve"> </w:t>
      </w:r>
      <w:r w:rsidRPr="002875AB">
        <w:t>means electrical installations and instrumentation other than electrical installations ancillary to building works;</w:t>
      </w:r>
    </w:p>
    <w:p w14:paraId="27FB56A6" w14:textId="77777777" w:rsidR="00C42D38" w:rsidRDefault="00C42D38" w:rsidP="00C42D38">
      <w:pPr>
        <w:pStyle w:val="REG-P0"/>
        <w:rPr>
          <w:sz w:val="24"/>
        </w:rPr>
      </w:pPr>
    </w:p>
    <w:p w14:paraId="7037E21D" w14:textId="77777777" w:rsidR="00C42D38" w:rsidRPr="002875AB" w:rsidRDefault="00206481" w:rsidP="00C42D38">
      <w:pPr>
        <w:pStyle w:val="REG-P0"/>
      </w:pPr>
      <w:r w:rsidRPr="002875AB">
        <w:rPr>
          <w:b/>
        </w:rPr>
        <w:t>“feasibility studies”</w:t>
      </w:r>
      <w:r>
        <w:rPr>
          <w:spacing w:val="-16"/>
          <w:w w:val="105"/>
        </w:rPr>
        <w:t xml:space="preserve"> </w:t>
      </w:r>
      <w:r w:rsidRPr="002875AB">
        <w:t>means feasibility studies and other pre-design studies involving technical and/or economic investigation and appraisal of a project;</w:t>
      </w:r>
    </w:p>
    <w:p w14:paraId="2AEA5B23" w14:textId="77777777" w:rsidR="000A0973" w:rsidRDefault="000A0973" w:rsidP="00C42D38">
      <w:pPr>
        <w:pStyle w:val="REG-P0"/>
        <w:rPr>
          <w:sz w:val="21"/>
        </w:rPr>
      </w:pPr>
    </w:p>
    <w:p w14:paraId="7BB71711" w14:textId="77777777" w:rsidR="00C42D38" w:rsidRPr="002875AB" w:rsidRDefault="00206481" w:rsidP="00C42D38">
      <w:pPr>
        <w:pStyle w:val="REG-P0"/>
      </w:pPr>
      <w:r w:rsidRPr="002875AB">
        <w:rPr>
          <w:b/>
        </w:rPr>
        <w:t xml:space="preserve">“fee” </w:t>
      </w:r>
      <w:r w:rsidRPr="002875AB">
        <w:t>means the remuneration in respect of services rendered by a quantity surveyor in private practice, calculated in accordance with paragraph 2(1), (2) and (3);</w:t>
      </w:r>
    </w:p>
    <w:p w14:paraId="39FCE0B6" w14:textId="77777777" w:rsidR="00C42D38" w:rsidRDefault="00C42D38" w:rsidP="00C42D38">
      <w:pPr>
        <w:pStyle w:val="REG-P0"/>
        <w:rPr>
          <w:sz w:val="23"/>
        </w:rPr>
      </w:pPr>
    </w:p>
    <w:p w14:paraId="35457192" w14:textId="77777777" w:rsidR="00C42D38" w:rsidRDefault="00206481" w:rsidP="00C42D38">
      <w:pPr>
        <w:pStyle w:val="REG-P0"/>
        <w:rPr>
          <w:sz w:val="21"/>
        </w:rPr>
      </w:pPr>
      <w:r w:rsidRPr="002875AB">
        <w:rPr>
          <w:b/>
        </w:rPr>
        <w:t>“final value of the contract”</w:t>
      </w:r>
      <w:r>
        <w:rPr>
          <w:w w:val="105"/>
        </w:rPr>
        <w:t xml:space="preserve"> </w:t>
      </w:r>
      <w:r w:rsidRPr="002875AB">
        <w:t>means the final value of the contract and includes -</w:t>
      </w:r>
    </w:p>
    <w:p w14:paraId="4422C482" w14:textId="77777777" w:rsidR="00C42D38" w:rsidRDefault="00C42D38" w:rsidP="00C42D38">
      <w:pPr>
        <w:pStyle w:val="REG-P0"/>
        <w:rPr>
          <w:sz w:val="26"/>
        </w:rPr>
      </w:pPr>
    </w:p>
    <w:p w14:paraId="04D97A3C" w14:textId="77777777" w:rsidR="00C42D38" w:rsidRPr="002875AB" w:rsidRDefault="00206481" w:rsidP="0050488A">
      <w:pPr>
        <w:pStyle w:val="REG-P0"/>
        <w:ind w:left="567" w:hanging="567"/>
      </w:pPr>
      <w:r w:rsidRPr="002875AB">
        <w:t>(a)</w:t>
      </w:r>
      <w:r w:rsidRPr="002875AB">
        <w:tab/>
        <w:t>all labour and materials, whether supplied free of charge or not: Provided that where materials are "free issue" and the value of such materials is not known or disclosed, such value shall be estimated at market rates current at the date of tender;</w:t>
      </w:r>
    </w:p>
    <w:p w14:paraId="2632FC75" w14:textId="77777777" w:rsidR="000A0973" w:rsidRPr="002875AB" w:rsidRDefault="000A0973" w:rsidP="0050488A">
      <w:pPr>
        <w:pStyle w:val="REG-P0"/>
        <w:ind w:left="567" w:hanging="567"/>
      </w:pPr>
    </w:p>
    <w:p w14:paraId="0D0BD1E0" w14:textId="77777777" w:rsidR="00C42D38" w:rsidRPr="002875AB" w:rsidRDefault="00206481" w:rsidP="0050488A">
      <w:pPr>
        <w:pStyle w:val="REG-P0"/>
        <w:ind w:left="567" w:hanging="567"/>
      </w:pPr>
      <w:r w:rsidRPr="002875AB">
        <w:t>(b)</w:t>
      </w:r>
      <w:r w:rsidRPr="002875AB">
        <w:tab/>
        <w:t>all specialist services and installations which form an integral part of the contract, including services covered by prime cost and/or provisional sums;</w:t>
      </w:r>
    </w:p>
    <w:p w14:paraId="197F28C9" w14:textId="77777777" w:rsidR="00C42D38" w:rsidRPr="002875AB" w:rsidRDefault="00C42D38" w:rsidP="0050488A">
      <w:pPr>
        <w:pStyle w:val="REG-P0"/>
        <w:ind w:left="567" w:hanging="567"/>
      </w:pPr>
    </w:p>
    <w:p w14:paraId="3E4C7984" w14:textId="77777777" w:rsidR="00C42D38" w:rsidRPr="002875AB" w:rsidRDefault="00206481" w:rsidP="0050488A">
      <w:pPr>
        <w:pStyle w:val="REG-P0"/>
        <w:ind w:left="567" w:hanging="567"/>
      </w:pPr>
      <w:r w:rsidRPr="002875AB">
        <w:t>(c)</w:t>
      </w:r>
      <w:r w:rsidRPr="002875AB">
        <w:tab/>
        <w:t>any amount of adjustment under any applicable contract price adjustment provisions; and</w:t>
      </w:r>
    </w:p>
    <w:p w14:paraId="16DE9645" w14:textId="77777777" w:rsidR="00C42D38" w:rsidRPr="002875AB" w:rsidRDefault="00C42D38" w:rsidP="0050488A">
      <w:pPr>
        <w:pStyle w:val="REG-P0"/>
        <w:ind w:left="567" w:hanging="567"/>
      </w:pPr>
    </w:p>
    <w:p w14:paraId="74379C52" w14:textId="77777777" w:rsidR="000A0973" w:rsidRPr="002875AB" w:rsidRDefault="00206481" w:rsidP="0050488A">
      <w:pPr>
        <w:pStyle w:val="REG-P0"/>
        <w:ind w:left="567" w:hanging="567"/>
      </w:pPr>
      <w:r w:rsidRPr="002875AB">
        <w:t>(d)</w:t>
      </w:r>
      <w:r w:rsidRPr="002875AB">
        <w:tab/>
      </w:r>
      <w:r w:rsidR="00C42D38" w:rsidRPr="002875AB">
        <w:t>subject to the exclusions set out hereunder, taxes and duties;</w:t>
      </w:r>
    </w:p>
    <w:p w14:paraId="1474EC07" w14:textId="77777777" w:rsidR="000A0973" w:rsidRDefault="000A0973" w:rsidP="000A0973">
      <w:pPr>
        <w:pStyle w:val="REG-Pa"/>
      </w:pPr>
    </w:p>
    <w:p w14:paraId="648F944B" w14:textId="77777777" w:rsidR="00C42D38" w:rsidRPr="002875AB" w:rsidRDefault="00206481" w:rsidP="00E43277">
      <w:pPr>
        <w:pStyle w:val="REG-Pa"/>
        <w:ind w:left="567"/>
        <w:rPr>
          <w:rFonts w:cs="Times New Roman"/>
        </w:rPr>
      </w:pPr>
      <w:r w:rsidRPr="002875AB">
        <w:rPr>
          <w:rFonts w:cs="Times New Roman"/>
        </w:rPr>
        <w:t>but excluding -</w:t>
      </w:r>
    </w:p>
    <w:p w14:paraId="7338F395" w14:textId="77777777" w:rsidR="000A0973" w:rsidRPr="000A0973" w:rsidRDefault="000A0973" w:rsidP="000A0973">
      <w:pPr>
        <w:pStyle w:val="REG-Pa"/>
      </w:pPr>
    </w:p>
    <w:p w14:paraId="6AE5A25F" w14:textId="77777777" w:rsidR="00C42D38" w:rsidRPr="00B91149" w:rsidRDefault="00206481" w:rsidP="0050488A">
      <w:pPr>
        <w:pStyle w:val="REG-Pa"/>
      </w:pPr>
      <w:r w:rsidRPr="00B91149">
        <w:t>(i)</w:t>
      </w:r>
      <w:r w:rsidRPr="00B91149">
        <w:tab/>
        <w:t>Sales Tax, where applicable;</w:t>
      </w:r>
    </w:p>
    <w:p w14:paraId="06931179" w14:textId="77777777" w:rsidR="00C42D38" w:rsidRPr="00B91149" w:rsidRDefault="00C42D38" w:rsidP="0050488A">
      <w:pPr>
        <w:pStyle w:val="REG-Pa"/>
      </w:pPr>
    </w:p>
    <w:p w14:paraId="53120547" w14:textId="77777777" w:rsidR="00C42D38" w:rsidRPr="00B91149" w:rsidRDefault="00206481" w:rsidP="0050488A">
      <w:pPr>
        <w:pStyle w:val="REG-Pa"/>
      </w:pPr>
      <w:r w:rsidRPr="00B91149">
        <w:t>(ii)</w:t>
      </w:r>
      <w:r w:rsidRPr="00B91149">
        <w:tab/>
        <w:t>work generally outside the scope of the work carried out by the contractor and excluded from the contract and in respect of which the quantity surveyor is not required to perform a service;</w:t>
      </w:r>
    </w:p>
    <w:p w14:paraId="75616914" w14:textId="77777777" w:rsidR="00C42D38" w:rsidRPr="00B91149" w:rsidRDefault="00C42D38" w:rsidP="0050488A">
      <w:pPr>
        <w:pStyle w:val="REG-Pa"/>
      </w:pPr>
    </w:p>
    <w:p w14:paraId="350920DF" w14:textId="77777777" w:rsidR="00C42D38" w:rsidRPr="00B91149" w:rsidRDefault="00206481" w:rsidP="0050488A">
      <w:pPr>
        <w:pStyle w:val="REG-Pa"/>
      </w:pPr>
      <w:r w:rsidRPr="00B91149">
        <w:t>(iii)</w:t>
      </w:r>
      <w:r w:rsidRPr="00B91149">
        <w:tab/>
        <w:t xml:space="preserve">the final value of any mechanical and electrical installations ancillary to building works and of any civil engineering works ancillary to building works </w:t>
      </w:r>
      <w:r w:rsidRPr="0050488A">
        <w:t>in respect of which the quantity surveyor is not required to perform any service other than the incorporation into the relevant documentation of the information furnished by others, and such final value shall include any amounts arising from contract price adjustment provisions and shall exclude any amounts for profit and attendance to the principal contractor and any apportionment of the value of preliminaries;</w:t>
      </w:r>
    </w:p>
    <w:p w14:paraId="3A3EE78D" w14:textId="77777777" w:rsidR="000A0973" w:rsidRDefault="000A0973" w:rsidP="000A0973">
      <w:pPr>
        <w:pStyle w:val="REG-Pi"/>
      </w:pPr>
    </w:p>
    <w:p w14:paraId="1A45CC37" w14:textId="77777777" w:rsidR="000A0973" w:rsidRPr="007F203C" w:rsidRDefault="00206481" w:rsidP="000A0973">
      <w:pPr>
        <w:pStyle w:val="REG-Amend"/>
      </w:pPr>
      <w:r>
        <w:t>[</w:t>
      </w:r>
      <w:r w:rsidR="002875AB">
        <w:t xml:space="preserve">The </w:t>
      </w:r>
      <w:r>
        <w:t>capitalisation in paragraph</w:t>
      </w:r>
      <w:r w:rsidR="00942C21">
        <w:t xml:space="preserve"> </w:t>
      </w:r>
      <w:r>
        <w:t xml:space="preserve">(1) </w:t>
      </w:r>
      <w:r w:rsidR="002875AB">
        <w:t xml:space="preserve">replicates </w:t>
      </w:r>
      <w:r>
        <w:t xml:space="preserve">the </w:t>
      </w:r>
      <w:r>
        <w:rPr>
          <w:i/>
        </w:rPr>
        <w:t>Government Gazette</w:t>
      </w:r>
      <w:r w:rsidR="002875AB">
        <w:rPr>
          <w:i/>
        </w:rPr>
        <w:t>.</w:t>
      </w:r>
      <w:r>
        <w:t>]</w:t>
      </w:r>
    </w:p>
    <w:p w14:paraId="02B8121B" w14:textId="77777777" w:rsidR="00C42D38" w:rsidRDefault="00C42D38" w:rsidP="00C42D38">
      <w:pPr>
        <w:pStyle w:val="REG-P0"/>
        <w:rPr>
          <w:sz w:val="24"/>
        </w:rPr>
      </w:pPr>
    </w:p>
    <w:p w14:paraId="6A9B4B28" w14:textId="77777777" w:rsidR="00C42D38" w:rsidRPr="002875AB" w:rsidRDefault="00206481" w:rsidP="00C42D38">
      <w:pPr>
        <w:pStyle w:val="REG-P0"/>
      </w:pPr>
      <w:r w:rsidRPr="0050488A">
        <w:rPr>
          <w:b/>
        </w:rPr>
        <w:t>“gross annual remuneration”</w:t>
      </w:r>
      <w:r>
        <w:rPr>
          <w:w w:val="105"/>
        </w:rPr>
        <w:t xml:space="preserve"> </w:t>
      </w:r>
      <w:r w:rsidRPr="0050488A">
        <w:t>means for the purposes of paragraph 2(13)(b) -</w:t>
      </w:r>
    </w:p>
    <w:p w14:paraId="629F23F5" w14:textId="77777777" w:rsidR="00C42D38" w:rsidRDefault="00C42D38" w:rsidP="00C42D38">
      <w:pPr>
        <w:pStyle w:val="REG-P0"/>
        <w:rPr>
          <w:sz w:val="26"/>
        </w:rPr>
      </w:pPr>
    </w:p>
    <w:p w14:paraId="0E336A77" w14:textId="77777777" w:rsidR="00C42D38" w:rsidRPr="002875AB" w:rsidRDefault="00206481" w:rsidP="0050488A">
      <w:pPr>
        <w:pStyle w:val="REG-Pa"/>
        <w:ind w:left="567"/>
      </w:pPr>
      <w:r w:rsidRPr="002875AB">
        <w:t>(a)</w:t>
      </w:r>
      <w:r w:rsidRPr="002875AB">
        <w:tab/>
        <w:t>basic salary and guaranteed annual bonus;</w:t>
      </w:r>
    </w:p>
    <w:p w14:paraId="6587FF64" w14:textId="77777777" w:rsidR="00C42D38" w:rsidRPr="002875AB" w:rsidRDefault="00C42D38" w:rsidP="0050488A">
      <w:pPr>
        <w:pStyle w:val="REG-Pa"/>
        <w:ind w:left="567"/>
      </w:pPr>
    </w:p>
    <w:p w14:paraId="2D5D86F5" w14:textId="77777777" w:rsidR="00C42D38" w:rsidRPr="002875AB" w:rsidRDefault="00206481" w:rsidP="0050488A">
      <w:pPr>
        <w:pStyle w:val="REG-Pa"/>
        <w:ind w:left="567"/>
      </w:pPr>
      <w:r w:rsidRPr="002875AB">
        <w:t>(b)</w:t>
      </w:r>
      <w:r w:rsidRPr="002875AB">
        <w:tab/>
        <w:t>fringe benefits not included in basic salary;</w:t>
      </w:r>
    </w:p>
    <w:p w14:paraId="780F207E" w14:textId="77777777" w:rsidR="00C42D38" w:rsidRPr="002875AB" w:rsidRDefault="00C42D38" w:rsidP="0050488A">
      <w:pPr>
        <w:pStyle w:val="REG-Pa"/>
        <w:ind w:left="567"/>
      </w:pPr>
    </w:p>
    <w:p w14:paraId="775E8A84" w14:textId="77777777" w:rsidR="00C42D38" w:rsidRPr="002875AB" w:rsidRDefault="00206481" w:rsidP="0050488A">
      <w:pPr>
        <w:pStyle w:val="REG-Pa"/>
        <w:ind w:left="567"/>
      </w:pPr>
      <w:r w:rsidRPr="002875AB">
        <w:t>(c)</w:t>
      </w:r>
      <w:r w:rsidRPr="002875AB">
        <w:tab/>
        <w:t>income benefit for the private use of a motor vehicle as determined from time to time by the Receiver of Revenue for income tax purposes;</w:t>
      </w:r>
    </w:p>
    <w:p w14:paraId="00F4D6D4" w14:textId="77777777" w:rsidR="00C42D38" w:rsidRPr="002875AB" w:rsidRDefault="00C42D38" w:rsidP="0050488A">
      <w:pPr>
        <w:pStyle w:val="REG-Pa"/>
        <w:ind w:left="567"/>
      </w:pPr>
    </w:p>
    <w:p w14:paraId="4BE233A5" w14:textId="77777777" w:rsidR="00C42D38" w:rsidRPr="002875AB" w:rsidRDefault="00203548" w:rsidP="0050488A">
      <w:pPr>
        <w:pStyle w:val="REG-Pa"/>
        <w:ind w:left="567"/>
      </w:pPr>
      <w:r w:rsidRPr="002875AB">
        <w:t>(d)</w:t>
      </w:r>
      <w:r w:rsidRPr="002875AB">
        <w:tab/>
        <w:t>employer’</w:t>
      </w:r>
      <w:r w:rsidR="00206481" w:rsidRPr="002875AB">
        <w:t>s contribution to pension or provident fund;</w:t>
      </w:r>
    </w:p>
    <w:p w14:paraId="3FE4165C" w14:textId="77777777" w:rsidR="00C42D38" w:rsidRPr="002875AB" w:rsidRDefault="00C42D38" w:rsidP="0050488A">
      <w:pPr>
        <w:pStyle w:val="REG-Pa"/>
        <w:ind w:left="567"/>
      </w:pPr>
    </w:p>
    <w:p w14:paraId="2C3AAF6D" w14:textId="77777777" w:rsidR="00C42D38" w:rsidRPr="002875AB" w:rsidRDefault="00203548" w:rsidP="0050488A">
      <w:pPr>
        <w:pStyle w:val="REG-Pa"/>
        <w:ind w:left="567"/>
      </w:pPr>
      <w:r w:rsidRPr="002875AB">
        <w:t>(e)</w:t>
      </w:r>
      <w:r w:rsidRPr="002875AB">
        <w:tab/>
        <w:t>employer’</w:t>
      </w:r>
      <w:r w:rsidR="00206481" w:rsidRPr="002875AB">
        <w:t>s contribution to medical aid;</w:t>
      </w:r>
    </w:p>
    <w:p w14:paraId="6268A091" w14:textId="77777777" w:rsidR="00C42D38" w:rsidRPr="002875AB" w:rsidRDefault="00C42D38" w:rsidP="0050488A">
      <w:pPr>
        <w:pStyle w:val="REG-Pa"/>
        <w:ind w:left="567"/>
      </w:pPr>
    </w:p>
    <w:p w14:paraId="62E4CED0" w14:textId="77777777" w:rsidR="00C42D38" w:rsidRPr="002875AB" w:rsidRDefault="00206481" w:rsidP="0050488A">
      <w:pPr>
        <w:pStyle w:val="REG-Pa"/>
        <w:ind w:left="567"/>
      </w:pPr>
      <w:r w:rsidRPr="002875AB">
        <w:t>(f)</w:t>
      </w:r>
      <w:r w:rsidRPr="002875AB">
        <w:tab/>
        <w:t>group life assurance premiums;</w:t>
      </w:r>
    </w:p>
    <w:p w14:paraId="7EDEF03A" w14:textId="77777777" w:rsidR="00C42D38" w:rsidRPr="002875AB" w:rsidRDefault="00C42D38" w:rsidP="0050488A">
      <w:pPr>
        <w:pStyle w:val="REG-Pa"/>
        <w:ind w:left="567"/>
      </w:pPr>
    </w:p>
    <w:p w14:paraId="49B2EC23" w14:textId="77777777" w:rsidR="00C42D38" w:rsidRPr="002875AB" w:rsidRDefault="00206481" w:rsidP="0050488A">
      <w:pPr>
        <w:pStyle w:val="REG-Pa"/>
        <w:ind w:left="567"/>
      </w:pPr>
      <w:r w:rsidRPr="002875AB">
        <w:t>(g)</w:t>
      </w:r>
      <w:r w:rsidRPr="002875AB">
        <w:tab/>
        <w:t>Social Security contributions, and any other statutory contributions or levies; and</w:t>
      </w:r>
    </w:p>
    <w:p w14:paraId="7019D959" w14:textId="77777777" w:rsidR="00C42D38" w:rsidRPr="002875AB" w:rsidRDefault="00C42D38" w:rsidP="0050488A">
      <w:pPr>
        <w:pStyle w:val="REG-Pa"/>
        <w:ind w:left="567"/>
      </w:pPr>
    </w:p>
    <w:p w14:paraId="2AB414FC" w14:textId="77777777" w:rsidR="00C42D38" w:rsidRPr="002875AB" w:rsidRDefault="00206481" w:rsidP="0050488A">
      <w:pPr>
        <w:pStyle w:val="REG-Pa"/>
        <w:ind w:left="567"/>
      </w:pPr>
      <w:r w:rsidRPr="002875AB">
        <w:t>(h)</w:t>
      </w:r>
      <w:r w:rsidRPr="002875AB">
        <w:tab/>
        <w:t>all other costs and benefits as per conditions of appointment but excluding any share of profit;</w:t>
      </w:r>
    </w:p>
    <w:p w14:paraId="5995BF84" w14:textId="77777777" w:rsidR="00C42D38" w:rsidRPr="002875AB" w:rsidRDefault="00C42D38" w:rsidP="0050488A">
      <w:pPr>
        <w:pStyle w:val="REG-P0"/>
      </w:pPr>
    </w:p>
    <w:p w14:paraId="60E11F17" w14:textId="77777777" w:rsidR="00C42D38" w:rsidRPr="0050488A" w:rsidRDefault="00206481" w:rsidP="0050488A">
      <w:pPr>
        <w:pStyle w:val="REG-P0"/>
      </w:pPr>
      <w:r w:rsidRPr="0050488A">
        <w:rPr>
          <w:b/>
        </w:rPr>
        <w:t>“industrialised building works”</w:t>
      </w:r>
      <w:r>
        <w:rPr>
          <w:w w:val="105"/>
        </w:rPr>
        <w:t xml:space="preserve"> </w:t>
      </w:r>
      <w:r w:rsidRPr="0050488A">
        <w:t>means work designed to be carried out by industrialised or unconventional system building methods and documented in accordance with the latest edition of the System</w:t>
      </w:r>
      <w:r w:rsidR="002875AB" w:rsidRPr="0050488A">
        <w:t xml:space="preserve"> of Measurement of Performance­</w:t>
      </w:r>
      <w:r w:rsidRPr="0050488A">
        <w:t>based Tender Enquiry Documentation published by the Association of South African Quantity Surveyors;</w:t>
      </w:r>
    </w:p>
    <w:p w14:paraId="3772A407" w14:textId="77777777" w:rsidR="00491F36" w:rsidRPr="0050488A" w:rsidRDefault="00491F36" w:rsidP="0050488A">
      <w:pPr>
        <w:pStyle w:val="REG-P0"/>
      </w:pPr>
    </w:p>
    <w:p w14:paraId="440B5EE2" w14:textId="77777777" w:rsidR="00C42D38" w:rsidRPr="0050488A" w:rsidRDefault="00206481" w:rsidP="00C42D38">
      <w:pPr>
        <w:pStyle w:val="REG-P0"/>
      </w:pPr>
      <w:r w:rsidRPr="0050488A">
        <w:rPr>
          <w:b/>
        </w:rPr>
        <w:t>“locational bills of quantities”</w:t>
      </w:r>
      <w:r>
        <w:t xml:space="preserve"> </w:t>
      </w:r>
      <w:r w:rsidRPr="0050488A">
        <w:t>means bills of quantities required by the client to be separated into blocks, elements, functions or other locations;</w:t>
      </w:r>
    </w:p>
    <w:p w14:paraId="0343E2BD" w14:textId="77777777" w:rsidR="00C42D38" w:rsidRDefault="00C42D38" w:rsidP="00C42D38">
      <w:pPr>
        <w:pStyle w:val="REG-P0"/>
        <w:rPr>
          <w:sz w:val="24"/>
        </w:rPr>
      </w:pPr>
    </w:p>
    <w:p w14:paraId="5E5E2FF2" w14:textId="77777777" w:rsidR="00C42D38" w:rsidRDefault="00206481" w:rsidP="00C42D38">
      <w:pPr>
        <w:pStyle w:val="REG-P0"/>
      </w:pPr>
      <w:r w:rsidRPr="0050488A">
        <w:rPr>
          <w:b/>
        </w:rPr>
        <w:t>“measured work”</w:t>
      </w:r>
      <w:r>
        <w:t xml:space="preserve"> </w:t>
      </w:r>
      <w:r w:rsidRPr="0050488A">
        <w:t>for the purposes of paragraph 2(10)(a), means work measured for incorporation in bills of quantities or a final account and excludes -</w:t>
      </w:r>
    </w:p>
    <w:p w14:paraId="5E62351A" w14:textId="77777777" w:rsidR="00C42D38" w:rsidRDefault="00C42D38" w:rsidP="00491F36">
      <w:pPr>
        <w:pStyle w:val="REG-Pa"/>
      </w:pPr>
    </w:p>
    <w:p w14:paraId="789BFD49" w14:textId="77777777" w:rsidR="00C42D38" w:rsidRDefault="00206481" w:rsidP="0050488A">
      <w:pPr>
        <w:pStyle w:val="REG-Pa"/>
        <w:ind w:left="567"/>
      </w:pPr>
      <w:r>
        <w:t>(a)</w:t>
      </w:r>
      <w:r>
        <w:tab/>
        <w:t>work originally measured as</w:t>
      </w:r>
      <w:r>
        <w:rPr>
          <w:spacing w:val="10"/>
        </w:rPr>
        <w:t xml:space="preserve"> </w:t>
      </w:r>
      <w:r>
        <w:t>provisional;</w:t>
      </w:r>
    </w:p>
    <w:p w14:paraId="1350C75E" w14:textId="77777777" w:rsidR="00C42D38" w:rsidRDefault="00C42D38" w:rsidP="0050488A">
      <w:pPr>
        <w:pStyle w:val="REG-Pa"/>
        <w:ind w:left="567"/>
        <w:rPr>
          <w:sz w:val="25"/>
        </w:rPr>
      </w:pPr>
    </w:p>
    <w:p w14:paraId="1CFD1FB7" w14:textId="77777777" w:rsidR="00C42D38" w:rsidRDefault="00206481" w:rsidP="0050488A">
      <w:pPr>
        <w:pStyle w:val="REG-Pa"/>
        <w:ind w:left="567"/>
      </w:pPr>
      <w:r>
        <w:rPr>
          <w:w w:val="105"/>
        </w:rPr>
        <w:t>(b)</w:t>
      </w:r>
      <w:r>
        <w:rPr>
          <w:w w:val="105"/>
        </w:rPr>
        <w:tab/>
        <w:t>adjustments involving the substitution of materials without additional measurement;</w:t>
      </w:r>
    </w:p>
    <w:p w14:paraId="35B67CA8" w14:textId="77777777" w:rsidR="00C42D38" w:rsidRDefault="00C42D38" w:rsidP="0050488A">
      <w:pPr>
        <w:pStyle w:val="REG-Pa"/>
        <w:ind w:left="567"/>
        <w:rPr>
          <w:sz w:val="24"/>
        </w:rPr>
      </w:pPr>
    </w:p>
    <w:p w14:paraId="34D91651" w14:textId="77777777" w:rsidR="00C42D38" w:rsidRDefault="00206481" w:rsidP="0050488A">
      <w:pPr>
        <w:pStyle w:val="REG-Pa"/>
        <w:ind w:left="567"/>
      </w:pPr>
      <w:r>
        <w:t>(c)</w:t>
      </w:r>
      <w:r>
        <w:tab/>
        <w:t>any applicable contract price</w:t>
      </w:r>
      <w:r>
        <w:rPr>
          <w:spacing w:val="4"/>
        </w:rPr>
        <w:t xml:space="preserve"> </w:t>
      </w:r>
      <w:r>
        <w:t>adjustment;</w:t>
      </w:r>
    </w:p>
    <w:p w14:paraId="073A00BD" w14:textId="77777777" w:rsidR="00C42D38" w:rsidRDefault="00C42D38" w:rsidP="0050488A">
      <w:pPr>
        <w:pStyle w:val="REG-Pa"/>
        <w:ind w:left="567"/>
        <w:rPr>
          <w:sz w:val="25"/>
        </w:rPr>
      </w:pPr>
    </w:p>
    <w:p w14:paraId="573B07EF" w14:textId="77777777" w:rsidR="00C42D38" w:rsidRDefault="00206481" w:rsidP="0050488A">
      <w:pPr>
        <w:pStyle w:val="REG-Pa"/>
        <w:ind w:left="567"/>
      </w:pPr>
      <w:r>
        <w:t>(d)</w:t>
      </w:r>
      <w:r>
        <w:tab/>
        <w:t>preliminaries bill or any adjustment thereof;</w:t>
      </w:r>
      <w:r>
        <w:rPr>
          <w:spacing w:val="-28"/>
        </w:rPr>
        <w:t xml:space="preserve"> </w:t>
      </w:r>
      <w:r>
        <w:t>and</w:t>
      </w:r>
    </w:p>
    <w:p w14:paraId="0EAC3B49" w14:textId="77777777" w:rsidR="00C42D38" w:rsidRDefault="00C42D38" w:rsidP="0050488A">
      <w:pPr>
        <w:pStyle w:val="REG-Pa"/>
        <w:ind w:left="567"/>
        <w:rPr>
          <w:sz w:val="26"/>
        </w:rPr>
      </w:pPr>
    </w:p>
    <w:p w14:paraId="006B22BC" w14:textId="77777777" w:rsidR="00C42D38" w:rsidRDefault="00206481" w:rsidP="0050488A">
      <w:pPr>
        <w:pStyle w:val="REG-Pa"/>
        <w:ind w:left="567"/>
      </w:pPr>
      <w:r>
        <w:rPr>
          <w:w w:val="105"/>
        </w:rPr>
        <w:t>(e)</w:t>
      </w:r>
      <w:r>
        <w:rPr>
          <w:w w:val="105"/>
        </w:rPr>
        <w:tab/>
        <w:t>contingencies;</w:t>
      </w:r>
    </w:p>
    <w:p w14:paraId="29203727" w14:textId="77777777" w:rsidR="00C42D38" w:rsidRDefault="00C42D38" w:rsidP="00C42D38">
      <w:pPr>
        <w:pStyle w:val="REG-P0"/>
        <w:rPr>
          <w:sz w:val="26"/>
        </w:rPr>
      </w:pPr>
    </w:p>
    <w:p w14:paraId="53F09721" w14:textId="77777777" w:rsidR="00C42D38" w:rsidRPr="0050488A" w:rsidRDefault="00206481" w:rsidP="00C42D38">
      <w:pPr>
        <w:pStyle w:val="REG-P0"/>
      </w:pPr>
      <w:r w:rsidRPr="0050488A">
        <w:rPr>
          <w:b/>
        </w:rPr>
        <w:t>“mechanical engineering works”</w:t>
      </w:r>
      <w:r>
        <w:rPr>
          <w:w w:val="105"/>
        </w:rPr>
        <w:t xml:space="preserve"> </w:t>
      </w:r>
      <w:r w:rsidRPr="0050488A">
        <w:t>means mechanical installations other than mechanical installations ancillary to building works;</w:t>
      </w:r>
    </w:p>
    <w:p w14:paraId="4FE2A8AA" w14:textId="77777777" w:rsidR="00C42D38" w:rsidRDefault="00C42D38" w:rsidP="00C42D38">
      <w:pPr>
        <w:pStyle w:val="REG-P0"/>
        <w:rPr>
          <w:sz w:val="26"/>
        </w:rPr>
      </w:pPr>
    </w:p>
    <w:p w14:paraId="456D517B" w14:textId="77777777" w:rsidR="00C42D38" w:rsidRPr="0050488A" w:rsidRDefault="00206481" w:rsidP="00C42D38">
      <w:pPr>
        <w:pStyle w:val="REG-P0"/>
      </w:pPr>
      <w:r w:rsidRPr="0050488A">
        <w:rPr>
          <w:b/>
        </w:rPr>
        <w:t>“mechanical and electrical installations ancillary to building works</w:t>
      </w:r>
      <w:r>
        <w:rPr>
          <w:spacing w:val="-20"/>
        </w:rPr>
        <w:t xml:space="preserve"> </w:t>
      </w:r>
      <w:r w:rsidRPr="0050488A">
        <w:t>shall be limited to the following -</w:t>
      </w:r>
    </w:p>
    <w:p w14:paraId="0DDBBFB7" w14:textId="77777777" w:rsidR="00491F36" w:rsidRDefault="00491F36" w:rsidP="00C42D38">
      <w:pPr>
        <w:pStyle w:val="REG-P0"/>
      </w:pPr>
    </w:p>
    <w:p w14:paraId="425695C3" w14:textId="375175CF" w:rsidR="00491F36" w:rsidRPr="007F203C" w:rsidRDefault="00206481" w:rsidP="00491F36">
      <w:pPr>
        <w:pStyle w:val="REG-Amend"/>
      </w:pPr>
      <w:r>
        <w:t>[</w:t>
      </w:r>
      <w:r w:rsidR="0050488A">
        <w:t xml:space="preserve">A </w:t>
      </w:r>
      <w:r w:rsidR="009910E8">
        <w:t xml:space="preserve">closing quotation mark </w:t>
      </w:r>
      <w:r w:rsidR="0050488A">
        <w:t xml:space="preserve">is missing </w:t>
      </w:r>
      <w:r>
        <w:t xml:space="preserve">in the definition of "mechanical and electrical installations ancillary to building works" in the </w:t>
      </w:r>
      <w:r>
        <w:rPr>
          <w:i/>
        </w:rPr>
        <w:t>Government Gazette</w:t>
      </w:r>
      <w:r>
        <w:t>, as reproduced above</w:t>
      </w:r>
      <w:r w:rsidR="0050488A">
        <w:t>.</w:t>
      </w:r>
      <w:r>
        <w:t>]</w:t>
      </w:r>
    </w:p>
    <w:p w14:paraId="0EBC4238" w14:textId="77777777" w:rsidR="00C42D38" w:rsidRDefault="00C42D38" w:rsidP="00C42D38">
      <w:pPr>
        <w:pStyle w:val="REG-P0"/>
        <w:rPr>
          <w:sz w:val="23"/>
        </w:rPr>
      </w:pPr>
    </w:p>
    <w:p w14:paraId="674512CB" w14:textId="77777777" w:rsidR="00C42D38" w:rsidRPr="00491F36" w:rsidRDefault="00206481" w:rsidP="0050488A">
      <w:pPr>
        <w:pStyle w:val="REG-Pa"/>
        <w:ind w:left="567"/>
      </w:pPr>
      <w:r>
        <w:t>(a)</w:t>
      </w:r>
      <w:r>
        <w:tab/>
      </w:r>
      <w:r w:rsidRPr="00491F36">
        <w:t>air-conditioning and mechanical ventilation;</w:t>
      </w:r>
    </w:p>
    <w:p w14:paraId="5FEED547" w14:textId="77777777" w:rsidR="00C42D38" w:rsidRPr="00491F36" w:rsidRDefault="00C42D38" w:rsidP="0050488A">
      <w:pPr>
        <w:pStyle w:val="REG-Pa"/>
        <w:ind w:left="567"/>
      </w:pPr>
    </w:p>
    <w:p w14:paraId="6878F555" w14:textId="77777777" w:rsidR="00C42D38" w:rsidRPr="00491F36" w:rsidRDefault="00206481" w:rsidP="0050488A">
      <w:pPr>
        <w:pStyle w:val="REG-Pa"/>
        <w:ind w:left="567"/>
      </w:pPr>
      <w:r>
        <w:t>(b)</w:t>
      </w:r>
      <w:r>
        <w:tab/>
      </w:r>
      <w:r w:rsidRPr="00491F36">
        <w:t>boiler equipment;</w:t>
      </w:r>
    </w:p>
    <w:p w14:paraId="0368B757" w14:textId="77777777" w:rsidR="00C42D38" w:rsidRPr="00491F36" w:rsidRDefault="00C42D38" w:rsidP="0050488A">
      <w:pPr>
        <w:pStyle w:val="REG-Pa"/>
        <w:ind w:left="567"/>
      </w:pPr>
    </w:p>
    <w:p w14:paraId="634E48F0" w14:textId="77777777" w:rsidR="00C42D38" w:rsidRPr="00491F36" w:rsidRDefault="00206481" w:rsidP="0050488A">
      <w:pPr>
        <w:pStyle w:val="REG-Pa"/>
        <w:ind w:left="567"/>
      </w:pPr>
      <w:r>
        <w:t>(c)</w:t>
      </w:r>
      <w:r>
        <w:tab/>
      </w:r>
      <w:r w:rsidRPr="00491F36">
        <w:t>conveyor systems;</w:t>
      </w:r>
    </w:p>
    <w:p w14:paraId="4D511234" w14:textId="77777777" w:rsidR="00C42D38" w:rsidRPr="00491F36" w:rsidRDefault="00C42D38" w:rsidP="0050488A">
      <w:pPr>
        <w:pStyle w:val="REG-Pa"/>
        <w:ind w:left="567"/>
      </w:pPr>
    </w:p>
    <w:p w14:paraId="3A3427C3" w14:textId="77777777" w:rsidR="00C42D38" w:rsidRPr="00491F36" w:rsidRDefault="00206481" w:rsidP="0050488A">
      <w:pPr>
        <w:pStyle w:val="REG-Pa"/>
        <w:ind w:left="567"/>
      </w:pPr>
      <w:r>
        <w:t>(d)</w:t>
      </w:r>
      <w:r>
        <w:tab/>
      </w:r>
      <w:r w:rsidRPr="00491F36">
        <w:t>electrical and electronic installations;</w:t>
      </w:r>
    </w:p>
    <w:p w14:paraId="7DE639A1" w14:textId="77777777" w:rsidR="00C42D38" w:rsidRPr="00491F36" w:rsidRDefault="00C42D38" w:rsidP="0050488A">
      <w:pPr>
        <w:pStyle w:val="REG-Pa"/>
        <w:ind w:left="567"/>
      </w:pPr>
    </w:p>
    <w:p w14:paraId="043DD4DF" w14:textId="77777777" w:rsidR="00C42D38" w:rsidRDefault="00206481" w:rsidP="0050488A">
      <w:pPr>
        <w:pStyle w:val="REG-Pa"/>
        <w:ind w:left="567"/>
      </w:pPr>
      <w:r w:rsidRPr="00491F36">
        <w:t>(e)</w:t>
      </w:r>
      <w:r w:rsidRPr="00491F36">
        <w:tab/>
        <w:t>gas and compressed air systems;</w:t>
      </w:r>
    </w:p>
    <w:p w14:paraId="531C1A65" w14:textId="77777777" w:rsidR="00491F36" w:rsidRPr="00491F36" w:rsidRDefault="00491F36" w:rsidP="0050488A">
      <w:pPr>
        <w:pStyle w:val="REG-Pa"/>
        <w:ind w:left="567"/>
      </w:pPr>
    </w:p>
    <w:p w14:paraId="782D750C" w14:textId="77777777" w:rsidR="00C42D38" w:rsidRPr="00491F36" w:rsidRDefault="00206481" w:rsidP="0050488A">
      <w:pPr>
        <w:pStyle w:val="REG-Pa"/>
        <w:ind w:left="567"/>
      </w:pPr>
      <w:r>
        <w:t>(f)</w:t>
      </w:r>
      <w:r>
        <w:tab/>
      </w:r>
      <w:r w:rsidRPr="00491F36">
        <w:t>incinerators and compactor units;</w:t>
      </w:r>
    </w:p>
    <w:p w14:paraId="02F03DD5" w14:textId="77777777" w:rsidR="00C42D38" w:rsidRPr="00491F36" w:rsidRDefault="00C42D38" w:rsidP="0050488A">
      <w:pPr>
        <w:pStyle w:val="REG-Pa"/>
        <w:ind w:left="567"/>
      </w:pPr>
    </w:p>
    <w:p w14:paraId="5580BA37" w14:textId="77777777" w:rsidR="00C42D38" w:rsidRPr="00491F36" w:rsidRDefault="00206481" w:rsidP="0050488A">
      <w:pPr>
        <w:pStyle w:val="REG-Pa"/>
        <w:ind w:left="567"/>
      </w:pPr>
      <w:r>
        <w:t>(g)</w:t>
      </w:r>
      <w:r>
        <w:tab/>
      </w:r>
      <w:r w:rsidRPr="00491F36">
        <w:t>laundry and kitchen equipment;</w:t>
      </w:r>
    </w:p>
    <w:p w14:paraId="4674C5C5" w14:textId="77777777" w:rsidR="00C42D38" w:rsidRPr="00491F36" w:rsidRDefault="00C42D38" w:rsidP="0050488A">
      <w:pPr>
        <w:pStyle w:val="REG-Pa"/>
        <w:ind w:left="567"/>
      </w:pPr>
    </w:p>
    <w:p w14:paraId="08D3F5BB" w14:textId="77777777" w:rsidR="00C42D38" w:rsidRPr="00491F36" w:rsidRDefault="00206481" w:rsidP="0050488A">
      <w:pPr>
        <w:pStyle w:val="REG-Pa"/>
        <w:ind w:left="567"/>
      </w:pPr>
      <w:r>
        <w:t>(h)</w:t>
      </w:r>
      <w:r>
        <w:tab/>
      </w:r>
      <w:r w:rsidRPr="00491F36">
        <w:t>lifts, hoists and escalators;</w:t>
      </w:r>
    </w:p>
    <w:p w14:paraId="4686AE45" w14:textId="77777777" w:rsidR="00C42D38" w:rsidRPr="00491F36" w:rsidRDefault="00C42D38" w:rsidP="0050488A">
      <w:pPr>
        <w:pStyle w:val="REG-Pa"/>
        <w:ind w:left="567"/>
      </w:pPr>
    </w:p>
    <w:p w14:paraId="37D874C5" w14:textId="77777777" w:rsidR="00C42D38" w:rsidRPr="00491F36" w:rsidRDefault="00206481" w:rsidP="0050488A">
      <w:pPr>
        <w:pStyle w:val="REG-Pa"/>
        <w:ind w:left="567"/>
      </w:pPr>
      <w:r>
        <w:t>(i)</w:t>
      </w:r>
      <w:r>
        <w:tab/>
      </w:r>
      <w:r w:rsidRPr="00491F36">
        <w:t>pumping equipment;</w:t>
      </w:r>
    </w:p>
    <w:p w14:paraId="06046C08" w14:textId="77777777" w:rsidR="00C42D38" w:rsidRPr="00491F36" w:rsidRDefault="00C42D38" w:rsidP="0050488A">
      <w:pPr>
        <w:pStyle w:val="REG-Pa"/>
        <w:ind w:left="567"/>
      </w:pPr>
    </w:p>
    <w:p w14:paraId="72B126CD" w14:textId="77777777" w:rsidR="00C42D38" w:rsidRPr="00491F36" w:rsidRDefault="00206481" w:rsidP="0050488A">
      <w:pPr>
        <w:pStyle w:val="REG-Pa"/>
        <w:ind w:left="567"/>
      </w:pPr>
      <w:r w:rsidRPr="00491F36">
        <w:t>(</w:t>
      </w:r>
      <w:r w:rsidR="00491F36">
        <w:t>j</w:t>
      </w:r>
      <w:r w:rsidRPr="00491F36">
        <w:t>)</w:t>
      </w:r>
      <w:r w:rsidRPr="00491F36">
        <w:tab/>
        <w:t>refrigeration installations;</w:t>
      </w:r>
    </w:p>
    <w:p w14:paraId="112A73A5" w14:textId="77777777" w:rsidR="00C42D38" w:rsidRPr="00491F36" w:rsidRDefault="00C42D38" w:rsidP="0050488A">
      <w:pPr>
        <w:pStyle w:val="REG-Pa"/>
        <w:ind w:left="567"/>
      </w:pPr>
    </w:p>
    <w:p w14:paraId="24A34D72" w14:textId="77777777" w:rsidR="00C42D38" w:rsidRPr="00491F36" w:rsidRDefault="00206481" w:rsidP="0050488A">
      <w:pPr>
        <w:pStyle w:val="REG-Pa"/>
        <w:ind w:left="567"/>
      </w:pPr>
      <w:r w:rsidRPr="00491F36">
        <w:t>(k)</w:t>
      </w:r>
      <w:r w:rsidRPr="00491F36">
        <w:tab/>
        <w:t>specialist fire detection and fire prevention installations including sprinkler installations;</w:t>
      </w:r>
    </w:p>
    <w:p w14:paraId="27DED35A" w14:textId="77777777" w:rsidR="00C42D38" w:rsidRPr="00491F36" w:rsidRDefault="00C42D38" w:rsidP="0050488A">
      <w:pPr>
        <w:pStyle w:val="REG-Pa"/>
        <w:ind w:left="567"/>
      </w:pPr>
    </w:p>
    <w:p w14:paraId="2A5EDB5E" w14:textId="77777777" w:rsidR="00C42D38" w:rsidRPr="00491F36" w:rsidRDefault="00206481" w:rsidP="0050488A">
      <w:pPr>
        <w:pStyle w:val="REG-Pa"/>
        <w:ind w:left="567"/>
      </w:pPr>
      <w:r w:rsidRPr="00491F36">
        <w:t>(</w:t>
      </w:r>
      <w:r w:rsidR="00491F36">
        <w:t>l</w:t>
      </w:r>
      <w:r w:rsidRPr="00491F36">
        <w:t>)</w:t>
      </w:r>
      <w:r w:rsidRPr="00491F36">
        <w:tab/>
        <w:t>steam installations; and</w:t>
      </w:r>
    </w:p>
    <w:p w14:paraId="14127D6B" w14:textId="77777777" w:rsidR="00C42D38" w:rsidRPr="00491F36" w:rsidRDefault="00C42D38" w:rsidP="0050488A">
      <w:pPr>
        <w:pStyle w:val="REG-Pa"/>
        <w:ind w:left="567"/>
      </w:pPr>
    </w:p>
    <w:p w14:paraId="2462244D" w14:textId="77777777" w:rsidR="00C42D38" w:rsidRPr="00491F36" w:rsidRDefault="00206481" w:rsidP="0050488A">
      <w:pPr>
        <w:pStyle w:val="REG-Pa"/>
        <w:ind w:left="567"/>
      </w:pPr>
      <w:r w:rsidRPr="00491F36">
        <w:t>(m)</w:t>
      </w:r>
      <w:r w:rsidRPr="00491F36">
        <w:tab/>
        <w:t>X-ray and sterilisation equipment;</w:t>
      </w:r>
    </w:p>
    <w:p w14:paraId="64175AD0" w14:textId="77777777" w:rsidR="00C42D38" w:rsidRPr="00491F36" w:rsidRDefault="00C42D38" w:rsidP="00491F36">
      <w:pPr>
        <w:pStyle w:val="REG-P0"/>
      </w:pPr>
    </w:p>
    <w:p w14:paraId="6F03CA48" w14:textId="77777777" w:rsidR="00491F36" w:rsidRPr="0050488A" w:rsidRDefault="00206481" w:rsidP="00491F36">
      <w:pPr>
        <w:pStyle w:val="REG-P0"/>
      </w:pPr>
      <w:r w:rsidRPr="0050488A">
        <w:rPr>
          <w:b/>
        </w:rPr>
        <w:t>“multiple procurement contract”</w:t>
      </w:r>
      <w:r>
        <w:rPr>
          <w:b/>
        </w:rPr>
        <w:t xml:space="preserve"> </w:t>
      </w:r>
      <w:r w:rsidRPr="0050488A">
        <w:t xml:space="preserve">means </w:t>
      </w:r>
      <w:r w:rsidRPr="0050488A">
        <w:rPr>
          <w:b/>
        </w:rPr>
        <w:t>building works</w:t>
      </w:r>
      <w:r>
        <w:rPr>
          <w:b/>
        </w:rPr>
        <w:t xml:space="preserve"> </w:t>
      </w:r>
      <w:r w:rsidRPr="0050488A">
        <w:t xml:space="preserve">where the quantity surveyor is required to produce separate documentation or related services for work executed under sub-contract and where the value of such work exceeds 40 per cent of the </w:t>
      </w:r>
      <w:r w:rsidRPr="0050488A">
        <w:rPr>
          <w:b/>
        </w:rPr>
        <w:t>contract value</w:t>
      </w:r>
      <w:r w:rsidRPr="0050488A">
        <w:t>;</w:t>
      </w:r>
    </w:p>
    <w:p w14:paraId="7F741B7F" w14:textId="77777777" w:rsidR="00C42D38" w:rsidRDefault="00C42D38" w:rsidP="00C42D38">
      <w:pPr>
        <w:pStyle w:val="REG-P0"/>
        <w:rPr>
          <w:sz w:val="24"/>
        </w:rPr>
      </w:pPr>
    </w:p>
    <w:p w14:paraId="244FD458" w14:textId="77777777" w:rsidR="00C42D38" w:rsidRPr="0050488A" w:rsidRDefault="00206481" w:rsidP="00C42D38">
      <w:pPr>
        <w:pStyle w:val="REG-P0"/>
      </w:pPr>
      <w:r w:rsidRPr="0050488A">
        <w:rPr>
          <w:b/>
        </w:rPr>
        <w:t>“new works to existing structures”</w:t>
      </w:r>
      <w:r>
        <w:t xml:space="preserve"> </w:t>
      </w:r>
      <w:r w:rsidRPr="0050488A">
        <w:t xml:space="preserve">means works to existing structures other than </w:t>
      </w:r>
      <w:r w:rsidRPr="0050488A">
        <w:rPr>
          <w:b/>
        </w:rPr>
        <w:t>alteration works</w:t>
      </w:r>
      <w:r w:rsidRPr="0050488A">
        <w:t xml:space="preserve">, </w:t>
      </w:r>
      <w:r w:rsidRPr="0050488A">
        <w:rPr>
          <w:b/>
        </w:rPr>
        <w:t>redecoration works</w:t>
      </w:r>
      <w:r w:rsidRPr="0050488A">
        <w:t xml:space="preserve"> and additions;</w:t>
      </w:r>
    </w:p>
    <w:p w14:paraId="2591FB87" w14:textId="77777777" w:rsidR="00C42D38" w:rsidRDefault="00C42D38" w:rsidP="00C42D38">
      <w:pPr>
        <w:pStyle w:val="REG-P0"/>
        <w:rPr>
          <w:sz w:val="26"/>
        </w:rPr>
      </w:pPr>
    </w:p>
    <w:p w14:paraId="6C6B2F6D" w14:textId="77777777" w:rsidR="00C42D38" w:rsidRPr="0050488A" w:rsidRDefault="00206481" w:rsidP="00C42D38">
      <w:pPr>
        <w:pStyle w:val="REG-P0"/>
      </w:pPr>
      <w:r w:rsidRPr="0050488A">
        <w:rPr>
          <w:b/>
        </w:rPr>
        <w:t>“principal agent”</w:t>
      </w:r>
      <w:r>
        <w:t xml:space="preserve"> </w:t>
      </w:r>
      <w:r w:rsidRPr="0050488A">
        <w:t>means a quantity surveyor acting as principal agent on behalf of his client and the normal services rendered by him or her comprises the following</w:t>
      </w:r>
      <w:r w:rsidR="0050488A">
        <w:t xml:space="preserve"> </w:t>
      </w:r>
      <w:r w:rsidRPr="0050488A">
        <w:t>-</w:t>
      </w:r>
    </w:p>
    <w:p w14:paraId="67074A14" w14:textId="77777777" w:rsidR="00C42D38" w:rsidRDefault="00C42D38" w:rsidP="00C42D38">
      <w:pPr>
        <w:pStyle w:val="REG-P0"/>
        <w:rPr>
          <w:sz w:val="23"/>
        </w:rPr>
      </w:pPr>
    </w:p>
    <w:p w14:paraId="1DB1C73F" w14:textId="77777777" w:rsidR="00C42D38" w:rsidRPr="00491F36" w:rsidRDefault="00206481" w:rsidP="002A7DA1">
      <w:pPr>
        <w:pStyle w:val="REG-Pa"/>
        <w:ind w:left="567"/>
      </w:pPr>
      <w:r>
        <w:t>(a)</w:t>
      </w:r>
      <w:r>
        <w:tab/>
      </w:r>
      <w:r w:rsidRPr="00491F36">
        <w:t>arranging for the signing of the contract;</w:t>
      </w:r>
    </w:p>
    <w:p w14:paraId="48357788" w14:textId="77777777" w:rsidR="00C42D38" w:rsidRPr="00491F36" w:rsidRDefault="00C42D38" w:rsidP="002A7DA1">
      <w:pPr>
        <w:pStyle w:val="REG-Pa"/>
        <w:ind w:left="567"/>
      </w:pPr>
    </w:p>
    <w:p w14:paraId="4637665C" w14:textId="77777777" w:rsidR="00C42D38" w:rsidRPr="00491F36" w:rsidRDefault="00206481" w:rsidP="002A7DA1">
      <w:pPr>
        <w:pStyle w:val="REG-Pa"/>
        <w:ind w:left="567"/>
      </w:pPr>
      <w:r>
        <w:t>(b)</w:t>
      </w:r>
      <w:r>
        <w:tab/>
      </w:r>
      <w:r w:rsidRPr="00491F36">
        <w:t>ensuring the safekeeping of the contract documents and the construction guarantee;</w:t>
      </w:r>
    </w:p>
    <w:p w14:paraId="565EBBF9" w14:textId="77777777" w:rsidR="00C42D38" w:rsidRPr="00491F36" w:rsidRDefault="00C42D38" w:rsidP="002A7DA1">
      <w:pPr>
        <w:pStyle w:val="REG-Pa"/>
        <w:ind w:left="567"/>
      </w:pPr>
    </w:p>
    <w:p w14:paraId="0B5E3686" w14:textId="77777777" w:rsidR="00C42D38" w:rsidRPr="00491F36" w:rsidRDefault="00206481" w:rsidP="002A7DA1">
      <w:pPr>
        <w:pStyle w:val="REG-Pa"/>
        <w:ind w:left="567"/>
      </w:pPr>
      <w:r>
        <w:t>(c)</w:t>
      </w:r>
      <w:r>
        <w:tab/>
      </w:r>
      <w:r w:rsidRPr="00491F36">
        <w:t>being the sole agent empowered to issue instructions;</w:t>
      </w:r>
    </w:p>
    <w:p w14:paraId="385E57D8" w14:textId="77777777" w:rsidR="00C42D38" w:rsidRPr="00491F36" w:rsidRDefault="00C42D38" w:rsidP="002A7DA1">
      <w:pPr>
        <w:pStyle w:val="REG-Pa"/>
        <w:ind w:left="567"/>
      </w:pPr>
    </w:p>
    <w:p w14:paraId="165CD6E8" w14:textId="77777777" w:rsidR="00C42D38" w:rsidRPr="00491F36" w:rsidRDefault="00206481" w:rsidP="002A7DA1">
      <w:pPr>
        <w:pStyle w:val="REG-Pa"/>
        <w:ind w:left="567"/>
      </w:pPr>
      <w:r>
        <w:t>(d)</w:t>
      </w:r>
      <w:r>
        <w:tab/>
      </w:r>
      <w:r w:rsidRPr="00491F36">
        <w:t>being the sole agent on whom notices in terms of the contract can be served;</w:t>
      </w:r>
    </w:p>
    <w:p w14:paraId="02AD492B" w14:textId="77777777" w:rsidR="00C42D38" w:rsidRPr="00491F36" w:rsidRDefault="00C42D38" w:rsidP="002A7DA1">
      <w:pPr>
        <w:pStyle w:val="REG-Pa"/>
        <w:ind w:left="567"/>
      </w:pPr>
    </w:p>
    <w:p w14:paraId="4CDCA3A7" w14:textId="77777777" w:rsidR="00C42D38" w:rsidRPr="00491F36" w:rsidRDefault="00206481" w:rsidP="002A7DA1">
      <w:pPr>
        <w:pStyle w:val="REG-Pa"/>
        <w:ind w:left="567"/>
      </w:pPr>
      <w:r>
        <w:t>(e)</w:t>
      </w:r>
      <w:r>
        <w:tab/>
      </w:r>
      <w:r w:rsidRPr="00491F36">
        <w:t>establishing whether the party responsible for effecting insurance has done so;</w:t>
      </w:r>
    </w:p>
    <w:p w14:paraId="477F1DE1" w14:textId="77777777" w:rsidR="00C42D38" w:rsidRPr="00491F36" w:rsidRDefault="00C42D38" w:rsidP="002A7DA1">
      <w:pPr>
        <w:pStyle w:val="REG-Pa"/>
        <w:ind w:left="567"/>
      </w:pPr>
    </w:p>
    <w:p w14:paraId="72AA13E8" w14:textId="77777777" w:rsidR="00C42D38" w:rsidRPr="00491F36" w:rsidRDefault="00206481" w:rsidP="002A7DA1">
      <w:pPr>
        <w:pStyle w:val="REG-Pa"/>
        <w:ind w:left="567"/>
      </w:pPr>
      <w:r>
        <w:t>(f)</w:t>
      </w:r>
      <w:r>
        <w:tab/>
      </w:r>
      <w:r w:rsidRPr="00491F36">
        <w:t>arranging for the pointing out of pegs, beacons and datum levels to the contractor;</w:t>
      </w:r>
    </w:p>
    <w:p w14:paraId="01CA9CF4" w14:textId="77777777" w:rsidR="00C42D38" w:rsidRPr="00491F36" w:rsidRDefault="00C42D38" w:rsidP="002A7DA1">
      <w:pPr>
        <w:pStyle w:val="REG-Pa"/>
        <w:ind w:left="567"/>
      </w:pPr>
    </w:p>
    <w:p w14:paraId="54F3DEE2" w14:textId="77777777" w:rsidR="00C42D38" w:rsidRPr="00491F36" w:rsidRDefault="00206481" w:rsidP="002A7DA1">
      <w:pPr>
        <w:pStyle w:val="REG-Pa"/>
        <w:ind w:left="567"/>
      </w:pPr>
      <w:r>
        <w:t>(g)</w:t>
      </w:r>
      <w:r>
        <w:tab/>
      </w:r>
      <w:r w:rsidRPr="00491F36">
        <w:t>nominating sub-contractors for employment as nominated sub-contractors;</w:t>
      </w:r>
    </w:p>
    <w:p w14:paraId="2ABA5E52" w14:textId="77777777" w:rsidR="00C42D38" w:rsidRPr="00491F36" w:rsidRDefault="00C42D38" w:rsidP="002A7DA1">
      <w:pPr>
        <w:pStyle w:val="REG-Pa"/>
        <w:ind w:left="567"/>
      </w:pPr>
    </w:p>
    <w:p w14:paraId="4AC12E94" w14:textId="77777777" w:rsidR="00C42D38" w:rsidRPr="00491F36" w:rsidRDefault="00206481" w:rsidP="002A7DA1">
      <w:pPr>
        <w:pStyle w:val="REG-Pa"/>
        <w:ind w:left="567"/>
      </w:pPr>
      <w:r>
        <w:t>(h)</w:t>
      </w:r>
      <w:r>
        <w:tab/>
      </w:r>
      <w:r w:rsidRPr="00491F36">
        <w:t>selecting sub-contractors together with the contractor for employment as selected sub-contractors;</w:t>
      </w:r>
    </w:p>
    <w:p w14:paraId="7024C5D8" w14:textId="77777777" w:rsidR="00C42D38" w:rsidRPr="00491F36" w:rsidRDefault="00C42D38" w:rsidP="002A7DA1">
      <w:pPr>
        <w:pStyle w:val="REG-Pa"/>
        <w:ind w:left="567"/>
      </w:pPr>
    </w:p>
    <w:p w14:paraId="4DC6E6C1" w14:textId="77777777" w:rsidR="00C42D38" w:rsidRPr="00491F36" w:rsidRDefault="00206481" w:rsidP="002A7DA1">
      <w:pPr>
        <w:pStyle w:val="REG-Pa"/>
        <w:ind w:left="567"/>
      </w:pPr>
      <w:r>
        <w:t>(i)</w:t>
      </w:r>
      <w:r>
        <w:tab/>
      </w:r>
      <w:r w:rsidRPr="00491F36">
        <w:t>granting or refusing an extension to the construction period and certifying the periods to which penalties are applicable;</w:t>
      </w:r>
    </w:p>
    <w:p w14:paraId="628F5A8B" w14:textId="77777777" w:rsidR="00C42D38" w:rsidRPr="00491F36" w:rsidRDefault="00C42D38" w:rsidP="002A7DA1">
      <w:pPr>
        <w:pStyle w:val="REG-Pa"/>
        <w:ind w:left="567"/>
      </w:pPr>
    </w:p>
    <w:p w14:paraId="30917DEF" w14:textId="77777777" w:rsidR="00C42D38" w:rsidRPr="00491F36" w:rsidRDefault="00206481" w:rsidP="002A7DA1">
      <w:pPr>
        <w:pStyle w:val="REG-Pa"/>
        <w:ind w:left="567"/>
      </w:pPr>
      <w:r>
        <w:t>(j)</w:t>
      </w:r>
      <w:r>
        <w:tab/>
      </w:r>
      <w:r w:rsidRPr="00491F36">
        <w:t>issuing monthly interim payment certificates, final payment certificates and certificates of practical and final completion;</w:t>
      </w:r>
    </w:p>
    <w:p w14:paraId="589901D4" w14:textId="77777777" w:rsidR="00C42D38" w:rsidRPr="00491F36" w:rsidRDefault="00C42D38" w:rsidP="002A7DA1">
      <w:pPr>
        <w:pStyle w:val="REG-Pa"/>
        <w:ind w:left="567"/>
      </w:pPr>
    </w:p>
    <w:p w14:paraId="00E81137" w14:textId="77777777" w:rsidR="00C42D38" w:rsidRPr="00491F36" w:rsidRDefault="00206481" w:rsidP="002A7DA1">
      <w:pPr>
        <w:pStyle w:val="REG-Pa"/>
        <w:ind w:left="567"/>
      </w:pPr>
      <w:r w:rsidRPr="00491F36">
        <w:t>(k)</w:t>
      </w:r>
      <w:r w:rsidRPr="00491F36">
        <w:tab/>
        <w:t>deciding on payment for materials stored on or off site;</w:t>
      </w:r>
    </w:p>
    <w:p w14:paraId="61E90D5F" w14:textId="77777777" w:rsidR="00C42D38" w:rsidRPr="00491F36" w:rsidRDefault="00C42D38" w:rsidP="002A7DA1">
      <w:pPr>
        <w:pStyle w:val="REG-Pa"/>
        <w:ind w:left="567"/>
      </w:pPr>
    </w:p>
    <w:p w14:paraId="44B2DDAA" w14:textId="77777777" w:rsidR="00C42D38" w:rsidRPr="00491F36" w:rsidRDefault="00206481" w:rsidP="002A7DA1">
      <w:pPr>
        <w:pStyle w:val="REG-Pa"/>
        <w:ind w:left="567"/>
      </w:pPr>
      <w:r w:rsidRPr="00491F36">
        <w:t>(</w:t>
      </w:r>
      <w:r w:rsidR="00491F36">
        <w:t>l</w:t>
      </w:r>
      <w:r w:rsidRPr="00491F36">
        <w:t>)</w:t>
      </w:r>
      <w:r w:rsidRPr="00491F36">
        <w:tab/>
        <w:t>issuing statements to the contractor and sub-contractors indicating the formulation of and the amount included in payment certificates;</w:t>
      </w:r>
    </w:p>
    <w:p w14:paraId="1CEE9422" w14:textId="77777777" w:rsidR="00C42D38" w:rsidRPr="00491F36" w:rsidRDefault="00C42D38" w:rsidP="002A7DA1">
      <w:pPr>
        <w:pStyle w:val="REG-Pa"/>
        <w:ind w:left="567"/>
      </w:pPr>
    </w:p>
    <w:p w14:paraId="07B599DF" w14:textId="77777777" w:rsidR="00C42D38" w:rsidRPr="00491F36" w:rsidRDefault="00206481" w:rsidP="002A7DA1">
      <w:pPr>
        <w:pStyle w:val="REG-Pa"/>
        <w:ind w:left="567"/>
      </w:pPr>
      <w:r>
        <w:t>(m)</w:t>
      </w:r>
      <w:r>
        <w:tab/>
      </w:r>
      <w:r w:rsidRPr="00491F36">
        <w:t>issuing a reconciliation statement;</w:t>
      </w:r>
    </w:p>
    <w:p w14:paraId="5CDCB85B" w14:textId="77777777" w:rsidR="00C42D38" w:rsidRPr="00491F36" w:rsidRDefault="00C42D38" w:rsidP="002A7DA1">
      <w:pPr>
        <w:pStyle w:val="REG-Pa"/>
        <w:ind w:left="567"/>
      </w:pPr>
    </w:p>
    <w:p w14:paraId="1A996BAE" w14:textId="77777777" w:rsidR="00C42D38" w:rsidRPr="00491F36" w:rsidRDefault="00206481" w:rsidP="002A7DA1">
      <w:pPr>
        <w:pStyle w:val="REG-Pa"/>
        <w:ind w:left="567"/>
      </w:pPr>
      <w:r>
        <w:t>(n)</w:t>
      </w:r>
      <w:r>
        <w:tab/>
      </w:r>
      <w:r w:rsidRPr="00491F36">
        <w:t>notifying the contractor and the guarantor if monies are to be recovered from the construction guarantee; and</w:t>
      </w:r>
    </w:p>
    <w:p w14:paraId="0AC4A5EA" w14:textId="77777777" w:rsidR="00C42D38" w:rsidRPr="00491F36" w:rsidRDefault="00C42D38" w:rsidP="002A7DA1">
      <w:pPr>
        <w:pStyle w:val="REG-Pa"/>
        <w:ind w:left="567"/>
      </w:pPr>
    </w:p>
    <w:p w14:paraId="351DC239" w14:textId="77777777" w:rsidR="00C42D38" w:rsidRPr="00491F36" w:rsidRDefault="00206481" w:rsidP="002A7DA1">
      <w:pPr>
        <w:pStyle w:val="REG-Pa"/>
        <w:ind w:left="567"/>
      </w:pPr>
      <w:r>
        <w:t>(o)</w:t>
      </w:r>
      <w:r>
        <w:tab/>
      </w:r>
      <w:r w:rsidRPr="00491F36">
        <w:t>determining disagreements;</w:t>
      </w:r>
    </w:p>
    <w:p w14:paraId="51B0D1BC" w14:textId="77777777" w:rsidR="00C42D38" w:rsidRDefault="00C42D38" w:rsidP="002A7DA1">
      <w:pPr>
        <w:pStyle w:val="REG-Pa"/>
        <w:ind w:left="567"/>
        <w:rPr>
          <w:sz w:val="25"/>
        </w:rPr>
      </w:pPr>
    </w:p>
    <w:p w14:paraId="076AE8A6" w14:textId="77777777" w:rsidR="00C42D38" w:rsidRPr="00034D75" w:rsidRDefault="00206481" w:rsidP="00C42D38">
      <w:pPr>
        <w:pStyle w:val="REG-P0"/>
      </w:pPr>
      <w:r w:rsidRPr="00034D75">
        <w:rPr>
          <w:b/>
        </w:rPr>
        <w:t>“process engineering works”</w:t>
      </w:r>
      <w:r>
        <w:rPr>
          <w:w w:val="105"/>
        </w:rPr>
        <w:t xml:space="preserve"> </w:t>
      </w:r>
      <w:r w:rsidRPr="00034D75">
        <w:t>means process piping, flow control systems and equipment associated with process plants;</w:t>
      </w:r>
    </w:p>
    <w:p w14:paraId="2B6BE97E" w14:textId="77777777" w:rsidR="00C42D38" w:rsidRDefault="00C42D38" w:rsidP="00C42D38">
      <w:pPr>
        <w:pStyle w:val="REG-P0"/>
        <w:rPr>
          <w:sz w:val="24"/>
        </w:rPr>
      </w:pPr>
    </w:p>
    <w:p w14:paraId="65E961A9" w14:textId="77777777" w:rsidR="00C42D38" w:rsidRPr="00034D75" w:rsidRDefault="00206481" w:rsidP="00C42D38">
      <w:pPr>
        <w:pStyle w:val="REG-P0"/>
      </w:pPr>
      <w:r w:rsidRPr="00034D75">
        <w:rPr>
          <w:b/>
        </w:rPr>
        <w:t>“project manager</w:t>
      </w:r>
      <w:r>
        <w:t xml:space="preserve"> </w:t>
      </w:r>
      <w:r w:rsidRPr="00034D75">
        <w:t>means a quantity surveyor employed by his client as an agent to manage the entire process necessary for the procurement of the design and the construction of a project, from briefing through to commissioning and occupation, taking into account the client</w:t>
      </w:r>
      <w:r w:rsidR="00864B7E" w:rsidRPr="00034D75">
        <w:t>’</w:t>
      </w:r>
      <w:r w:rsidRPr="00034D75">
        <w:t>s requirements in respect of aesthetics, quality, cost, time etc., and services normally rendered by him or her includes the following -</w:t>
      </w:r>
    </w:p>
    <w:p w14:paraId="455476E5" w14:textId="77777777" w:rsidR="00BD2D70" w:rsidRDefault="00BD2D70" w:rsidP="00C42D38">
      <w:pPr>
        <w:pStyle w:val="REG-P0"/>
      </w:pPr>
    </w:p>
    <w:p w14:paraId="54621B9D" w14:textId="77777777" w:rsidR="00BD2D70" w:rsidRPr="007F203C" w:rsidRDefault="00206481" w:rsidP="00BD2D70">
      <w:pPr>
        <w:pStyle w:val="REG-Amend"/>
      </w:pPr>
      <w:r>
        <w:t>[</w:t>
      </w:r>
      <w:r w:rsidR="00034D75">
        <w:t>A</w:t>
      </w:r>
      <w:r w:rsidR="009910E8">
        <w:t xml:space="preserve"> closing quotation mark </w:t>
      </w:r>
      <w:r w:rsidR="00034D75">
        <w:t xml:space="preserve">is </w:t>
      </w:r>
      <w:r>
        <w:t xml:space="preserve">missing in the definition of "project manager" </w:t>
      </w:r>
      <w:r w:rsidR="00034D75">
        <w:br/>
      </w:r>
      <w:r>
        <w:t xml:space="preserve">in the </w:t>
      </w:r>
      <w:r>
        <w:rPr>
          <w:i/>
        </w:rPr>
        <w:t>Government Gazette</w:t>
      </w:r>
      <w:r>
        <w:t>, as reproduced above</w:t>
      </w:r>
      <w:r w:rsidR="00034D75">
        <w:t>.</w:t>
      </w:r>
      <w:r>
        <w:t>]</w:t>
      </w:r>
    </w:p>
    <w:p w14:paraId="52CA2981" w14:textId="77777777" w:rsidR="00C42D38" w:rsidRDefault="00C42D38" w:rsidP="00C42D38">
      <w:pPr>
        <w:pStyle w:val="REG-P0"/>
        <w:rPr>
          <w:sz w:val="24"/>
        </w:rPr>
      </w:pPr>
    </w:p>
    <w:p w14:paraId="30A7210A" w14:textId="77777777" w:rsidR="00C42D38" w:rsidRPr="00BD2D70" w:rsidRDefault="00206481" w:rsidP="00034D75">
      <w:pPr>
        <w:pStyle w:val="REG-Pa"/>
        <w:ind w:left="567"/>
      </w:pPr>
      <w:r>
        <w:t>(a)</w:t>
      </w:r>
      <w:r>
        <w:tab/>
      </w:r>
      <w:r w:rsidRPr="00BD2D70">
        <w:t>receiving an outline brief from the cli</w:t>
      </w:r>
      <w:r w:rsidR="00864B7E">
        <w:t>ent and establishing the client’</w:t>
      </w:r>
      <w:r w:rsidRPr="00BD2D70">
        <w:t>s needs;</w:t>
      </w:r>
    </w:p>
    <w:p w14:paraId="16AB5B0C" w14:textId="77777777" w:rsidR="00C42D38" w:rsidRPr="00BD2D70" w:rsidRDefault="00C42D38" w:rsidP="00034D75">
      <w:pPr>
        <w:pStyle w:val="REG-Pa"/>
        <w:ind w:left="567"/>
      </w:pPr>
    </w:p>
    <w:p w14:paraId="46D089BD" w14:textId="77777777" w:rsidR="00C42D38" w:rsidRPr="00BD2D70" w:rsidRDefault="00206481" w:rsidP="00034D75">
      <w:pPr>
        <w:pStyle w:val="REG-Pa"/>
        <w:ind w:left="567"/>
      </w:pPr>
      <w:r>
        <w:t>(b)</w:t>
      </w:r>
      <w:r>
        <w:tab/>
      </w:r>
      <w:r w:rsidRPr="00BD2D70">
        <w:t>advising the client on the need for consultants;</w:t>
      </w:r>
    </w:p>
    <w:p w14:paraId="49410235" w14:textId="77777777" w:rsidR="00C42D38" w:rsidRPr="00BD2D70" w:rsidRDefault="00C42D38" w:rsidP="00034D75">
      <w:pPr>
        <w:pStyle w:val="REG-Pa"/>
        <w:ind w:left="567"/>
      </w:pPr>
    </w:p>
    <w:p w14:paraId="5DFE9055" w14:textId="77777777" w:rsidR="00C42D38" w:rsidRPr="00BD2D70" w:rsidRDefault="00206481" w:rsidP="00034D75">
      <w:pPr>
        <w:pStyle w:val="REG-Pa"/>
        <w:ind w:left="567"/>
      </w:pPr>
      <w:r>
        <w:t>(c)</w:t>
      </w:r>
      <w:r>
        <w:tab/>
      </w:r>
      <w:r w:rsidRPr="00BD2D70">
        <w:t>the making of recommendations;</w:t>
      </w:r>
    </w:p>
    <w:p w14:paraId="09F3E7FF" w14:textId="77777777" w:rsidR="00C42D38" w:rsidRPr="00BD2D70" w:rsidRDefault="00C42D38" w:rsidP="00034D75">
      <w:pPr>
        <w:pStyle w:val="REG-Pa"/>
        <w:ind w:left="567"/>
      </w:pPr>
    </w:p>
    <w:p w14:paraId="6D17D051" w14:textId="77777777" w:rsidR="00C42D38" w:rsidRPr="00BD2D70" w:rsidRDefault="00206481" w:rsidP="00034D75">
      <w:pPr>
        <w:pStyle w:val="REG-Pa"/>
        <w:ind w:left="567"/>
      </w:pPr>
      <w:r>
        <w:t>(d)</w:t>
      </w:r>
      <w:r>
        <w:tab/>
      </w:r>
      <w:r w:rsidRPr="00BD2D70">
        <w:t>negotiating and agreeing conditions of engagement with such selected consultants;</w:t>
      </w:r>
    </w:p>
    <w:p w14:paraId="459F937C" w14:textId="77777777" w:rsidR="00C42D38" w:rsidRPr="00BD2D70" w:rsidRDefault="00C42D38" w:rsidP="00034D75">
      <w:pPr>
        <w:pStyle w:val="REG-Pa"/>
        <w:ind w:left="567"/>
      </w:pPr>
    </w:p>
    <w:p w14:paraId="15E9D0CB" w14:textId="77777777" w:rsidR="00C42D38" w:rsidRPr="00BD2D70" w:rsidRDefault="00206481" w:rsidP="00034D75">
      <w:pPr>
        <w:pStyle w:val="REG-Pa"/>
        <w:ind w:left="567"/>
      </w:pPr>
      <w:r>
        <w:t>(e)</w:t>
      </w:r>
      <w:r>
        <w:tab/>
      </w:r>
      <w:r w:rsidRPr="00BD2D70">
        <w:t xml:space="preserve">receiving a final brief from the </w:t>
      </w:r>
      <w:r w:rsidR="00864B7E">
        <w:t>client and analysing the client’</w:t>
      </w:r>
      <w:r w:rsidRPr="00BD2D70">
        <w:t>s needs in detail;</w:t>
      </w:r>
    </w:p>
    <w:p w14:paraId="45FBBFEE" w14:textId="77777777" w:rsidR="00C42D38" w:rsidRPr="00BD2D70" w:rsidRDefault="00C42D38" w:rsidP="00034D75">
      <w:pPr>
        <w:pStyle w:val="REG-Pa"/>
        <w:ind w:left="567"/>
      </w:pPr>
    </w:p>
    <w:p w14:paraId="65FEF28A" w14:textId="77777777" w:rsidR="00C42D38" w:rsidRPr="00BD2D70" w:rsidRDefault="00206481" w:rsidP="00034D75">
      <w:pPr>
        <w:pStyle w:val="REG-Pa"/>
        <w:ind w:left="567"/>
      </w:pPr>
      <w:r>
        <w:t>(f)</w:t>
      </w:r>
      <w:r>
        <w:tab/>
      </w:r>
      <w:r w:rsidRPr="00BD2D70">
        <w:t>ensuring that statutory consents if any, are obtained;</w:t>
      </w:r>
    </w:p>
    <w:p w14:paraId="00AB7340" w14:textId="77777777" w:rsidR="00C42D38" w:rsidRPr="00BD2D70" w:rsidRDefault="00C42D38" w:rsidP="00034D75">
      <w:pPr>
        <w:pStyle w:val="REG-Pa"/>
        <w:ind w:left="567"/>
      </w:pPr>
    </w:p>
    <w:p w14:paraId="4C710CEE" w14:textId="77777777" w:rsidR="00C42D38" w:rsidRPr="00BD2D70" w:rsidRDefault="00206481" w:rsidP="00034D75">
      <w:pPr>
        <w:pStyle w:val="REG-Pa"/>
        <w:ind w:left="567"/>
      </w:pPr>
      <w:r>
        <w:t>(g)</w:t>
      </w:r>
      <w:r>
        <w:tab/>
      </w:r>
      <w:r w:rsidRPr="00BD2D70">
        <w:t>preparing programmes for all pre-contract and contract activities and monitoring progress and adjusting the programme as necessary;</w:t>
      </w:r>
    </w:p>
    <w:p w14:paraId="2809E686" w14:textId="77777777" w:rsidR="00C42D38" w:rsidRPr="00BD2D70" w:rsidRDefault="00C42D38" w:rsidP="00034D75">
      <w:pPr>
        <w:pStyle w:val="REG-Pa"/>
        <w:ind w:left="567"/>
      </w:pPr>
    </w:p>
    <w:p w14:paraId="1EDD5C60" w14:textId="77777777" w:rsidR="00C42D38" w:rsidRPr="00BD2D70" w:rsidRDefault="00206481" w:rsidP="00034D75">
      <w:pPr>
        <w:pStyle w:val="REG-Pa"/>
        <w:ind w:left="567"/>
      </w:pPr>
      <w:r>
        <w:t>(h)</w:t>
      </w:r>
      <w:r>
        <w:tab/>
      </w:r>
      <w:r w:rsidRPr="00BD2D70">
        <w:t>establishing types of meetings, attendance, chairmanship and issuing of agendas and minutes;</w:t>
      </w:r>
    </w:p>
    <w:p w14:paraId="2D2DA378" w14:textId="77777777" w:rsidR="00C42D38" w:rsidRPr="00BD2D70" w:rsidRDefault="00C42D38" w:rsidP="00034D75">
      <w:pPr>
        <w:pStyle w:val="REG-Pa"/>
        <w:ind w:left="567"/>
      </w:pPr>
    </w:p>
    <w:p w14:paraId="4AE50F34" w14:textId="77777777" w:rsidR="00C42D38" w:rsidRPr="00BD2D70" w:rsidRDefault="00206481" w:rsidP="00034D75">
      <w:pPr>
        <w:pStyle w:val="REG-Pa"/>
        <w:ind w:left="567"/>
      </w:pPr>
      <w:r>
        <w:t>(i)</w:t>
      </w:r>
      <w:r>
        <w:tab/>
      </w:r>
      <w:r w:rsidRPr="00BD2D70">
        <w:t>obtaining for the client advice as to various insurance and/or warranties and ensuring compliance by those required to effect such insurance;</w:t>
      </w:r>
    </w:p>
    <w:p w14:paraId="50852B36" w14:textId="77777777" w:rsidR="00C42D38" w:rsidRPr="00BD2D70" w:rsidRDefault="00C42D38" w:rsidP="00034D75">
      <w:pPr>
        <w:pStyle w:val="REG-Pa"/>
        <w:ind w:left="567"/>
      </w:pPr>
    </w:p>
    <w:p w14:paraId="1FD790FC" w14:textId="77777777" w:rsidR="00C42D38" w:rsidRPr="00BD2D70" w:rsidRDefault="00206481" w:rsidP="00034D75">
      <w:pPr>
        <w:pStyle w:val="REG-Pa"/>
        <w:ind w:left="567"/>
      </w:pPr>
      <w:r>
        <w:t>(j</w:t>
      </w:r>
      <w:r w:rsidRPr="00BD2D70">
        <w:t>)</w:t>
      </w:r>
      <w:r>
        <w:tab/>
      </w:r>
      <w:r w:rsidRPr="00BD2D70">
        <w:t>considering the contract type and the method of contractor selection with the selected consultants;</w:t>
      </w:r>
    </w:p>
    <w:p w14:paraId="2BE1C946" w14:textId="77777777" w:rsidR="00C42D38" w:rsidRPr="00BD2D70" w:rsidRDefault="00C42D38" w:rsidP="00034D75">
      <w:pPr>
        <w:pStyle w:val="REG-Pa"/>
        <w:ind w:left="567"/>
      </w:pPr>
    </w:p>
    <w:p w14:paraId="0FF33EFA" w14:textId="77777777" w:rsidR="00C42D38" w:rsidRPr="00BD2D70" w:rsidRDefault="00206481" w:rsidP="00034D75">
      <w:pPr>
        <w:pStyle w:val="REG-Pa"/>
        <w:ind w:left="567"/>
      </w:pPr>
      <w:r>
        <w:t>(k)</w:t>
      </w:r>
      <w:r>
        <w:tab/>
      </w:r>
      <w:r w:rsidRPr="00BD2D70">
        <w:t>arranging short lists of tenders, the tender opening and credit checks, co­ ordinating reports on tenders and making recommendations to the client;</w:t>
      </w:r>
    </w:p>
    <w:p w14:paraId="01C3A74F" w14:textId="77777777" w:rsidR="00C42D38" w:rsidRPr="00BD2D70" w:rsidRDefault="00C42D38" w:rsidP="00034D75">
      <w:pPr>
        <w:pStyle w:val="REG-Pa"/>
        <w:ind w:left="567"/>
      </w:pPr>
    </w:p>
    <w:p w14:paraId="49F634CD" w14:textId="77777777" w:rsidR="00C42D38" w:rsidRPr="00BD2D70" w:rsidRDefault="00206481" w:rsidP="00034D75">
      <w:pPr>
        <w:pStyle w:val="REG-Pa"/>
        <w:ind w:left="567"/>
      </w:pPr>
      <w:r>
        <w:t>(l)</w:t>
      </w:r>
      <w:r>
        <w:tab/>
      </w:r>
      <w:r w:rsidRPr="00BD2D70">
        <w:t>establishing a framework for monitoring progress and for maintenance of financial control;</w:t>
      </w:r>
    </w:p>
    <w:p w14:paraId="055471AC" w14:textId="77777777" w:rsidR="00C42D38" w:rsidRPr="00BD2D70" w:rsidRDefault="00C42D38" w:rsidP="00034D75">
      <w:pPr>
        <w:pStyle w:val="REG-Pa"/>
        <w:ind w:left="567"/>
      </w:pPr>
    </w:p>
    <w:p w14:paraId="13998BC2" w14:textId="77777777" w:rsidR="00C42D38" w:rsidRPr="00BD2D70" w:rsidRDefault="00206481" w:rsidP="00034D75">
      <w:pPr>
        <w:pStyle w:val="REG-Pa"/>
        <w:ind w:left="567"/>
      </w:pPr>
      <w:r>
        <w:t>(m)</w:t>
      </w:r>
      <w:r>
        <w:tab/>
      </w:r>
      <w:r w:rsidRPr="00BD2D70">
        <w:t>co-ordinating inspections and hand-overs, ensuring that commissioning of the building and services is properly undertaken and obtaining test certificates, as­built drawings, maintenance manuals and guarantees; and</w:t>
      </w:r>
    </w:p>
    <w:p w14:paraId="049354C4" w14:textId="77777777" w:rsidR="00C42D38" w:rsidRPr="00BD2D70" w:rsidRDefault="00C42D38" w:rsidP="00034D75">
      <w:pPr>
        <w:pStyle w:val="REG-Pa"/>
        <w:ind w:left="567"/>
      </w:pPr>
    </w:p>
    <w:p w14:paraId="23279B07" w14:textId="77777777" w:rsidR="00C42D38" w:rsidRPr="00BD2D70" w:rsidRDefault="00206481" w:rsidP="00034D75">
      <w:pPr>
        <w:pStyle w:val="REG-Pa"/>
        <w:ind w:left="567"/>
      </w:pPr>
      <w:r>
        <w:t>(n)</w:t>
      </w:r>
      <w:r>
        <w:tab/>
      </w:r>
      <w:r w:rsidRPr="00BD2D70">
        <w:t>regular reporting to the client;</w:t>
      </w:r>
    </w:p>
    <w:p w14:paraId="41731B62" w14:textId="77777777" w:rsidR="00C42D38" w:rsidRDefault="00C42D38" w:rsidP="00034D75">
      <w:pPr>
        <w:pStyle w:val="REG-Pa"/>
        <w:ind w:left="567"/>
        <w:rPr>
          <w:sz w:val="26"/>
        </w:rPr>
      </w:pPr>
    </w:p>
    <w:p w14:paraId="77EE4F25" w14:textId="77777777" w:rsidR="00C42D38" w:rsidRDefault="00206481" w:rsidP="00C42D38">
      <w:pPr>
        <w:pStyle w:val="REG-P0"/>
      </w:pPr>
      <w:r w:rsidRPr="00034D75">
        <w:rPr>
          <w:b/>
        </w:rPr>
        <w:t>“redecoration works”</w:t>
      </w:r>
      <w:r>
        <w:t xml:space="preserve"> </w:t>
      </w:r>
      <w:r w:rsidRPr="00034D75">
        <w:t>means works associated with the redecoration of existing buildings such as cleaning, painting and paperhanging and shall include associated minor repairs but shall exclude</w:t>
      </w:r>
      <w:r>
        <w:t xml:space="preserve"> </w:t>
      </w:r>
      <w:r w:rsidRPr="00034D75">
        <w:rPr>
          <w:b/>
        </w:rPr>
        <w:t>alteration works</w:t>
      </w:r>
      <w:r w:rsidRPr="00034D75">
        <w:t>;</w:t>
      </w:r>
    </w:p>
    <w:p w14:paraId="0C5F48C3" w14:textId="77777777" w:rsidR="00C42D38" w:rsidRDefault="00C42D38" w:rsidP="00C42D38">
      <w:pPr>
        <w:pStyle w:val="REG-P0"/>
        <w:rPr>
          <w:sz w:val="23"/>
        </w:rPr>
      </w:pPr>
    </w:p>
    <w:p w14:paraId="3E77204E" w14:textId="77777777" w:rsidR="00C42D38" w:rsidRPr="00034D75" w:rsidRDefault="00206481" w:rsidP="00C42D38">
      <w:pPr>
        <w:pStyle w:val="REG-P0"/>
      </w:pPr>
      <w:r w:rsidRPr="00034D75">
        <w:rPr>
          <w:b/>
        </w:rPr>
        <w:t>“replication”</w:t>
      </w:r>
      <w:r>
        <w:t xml:space="preserve"> </w:t>
      </w:r>
      <w:r w:rsidRPr="00034D75">
        <w:t>means the replication of an individual distinct building or structure within a contract or of a previous contract and shall be applicable only when the total quantities in all trades or the total cost of the prototype can be readily multiplied in  the procurement documentation by the number of individual distinct buildings or structures, the intention being that minor differences and work measured provisionally</w:t>
      </w:r>
      <w:r w:rsidRPr="00034D75">
        <w:rPr>
          <w:lang w:val="en-ZA" w:eastAsia="en-ZA"/>
        </w:rPr>
        <mc:AlternateContent>
          <mc:Choice Requires="wps">
            <w:drawing>
              <wp:anchor distT="0" distB="0" distL="114300" distR="114300" simplePos="0" relativeHeight="251663360" behindDoc="0" locked="0" layoutInCell="1" allowOverlap="1" wp14:anchorId="675D5997" wp14:editId="0342E1E8">
                <wp:simplePos x="0" y="0"/>
                <wp:positionH relativeFrom="page">
                  <wp:posOffset>390525</wp:posOffset>
                </wp:positionH>
                <wp:positionV relativeFrom="page">
                  <wp:posOffset>335915</wp:posOffset>
                </wp:positionV>
                <wp:extent cx="5728335" cy="0"/>
                <wp:effectExtent l="9525" t="12065" r="15240" b="698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77865" id="Straight Connector 8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5pt,26.45pt" to="481.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" strokeweight=".33906mm">
                <w10:wrap anchorx="page" anchory="page"/>
              </v:line>
            </w:pict>
          </mc:Fallback>
        </mc:AlternateContent>
      </w:r>
      <w:r w:rsidRPr="00034D75">
        <w:t xml:space="preserve"> shall, where necessary, be adjusted in the final account;</w:t>
      </w:r>
    </w:p>
    <w:p w14:paraId="7B1F2467" w14:textId="77777777" w:rsidR="00C42D38" w:rsidRDefault="00C42D38" w:rsidP="00C42D38">
      <w:pPr>
        <w:pStyle w:val="REG-P0"/>
        <w:rPr>
          <w:sz w:val="25"/>
        </w:rPr>
      </w:pPr>
    </w:p>
    <w:p w14:paraId="74C47BFA" w14:textId="77777777" w:rsidR="00BD2D70" w:rsidRPr="00034D75" w:rsidRDefault="00206481" w:rsidP="00034D75">
      <w:pPr>
        <w:pStyle w:val="REG-P0"/>
      </w:pPr>
      <w:r w:rsidRPr="00034D75">
        <w:rPr>
          <w:b/>
        </w:rPr>
        <w:t>“stage A”</w:t>
      </w:r>
      <w:r w:rsidRPr="00034D75">
        <w:t xml:space="preserve"> (estimating and cost advice stage) means preparing estimates of cost and providing such other cost advice as may be required prior to the commencement of </w:t>
      </w:r>
      <w:r w:rsidRPr="00034D75">
        <w:rPr>
          <w:b/>
        </w:rPr>
        <w:t>stage B</w:t>
      </w:r>
      <w:r w:rsidRPr="00034D75">
        <w:t>;</w:t>
      </w:r>
    </w:p>
    <w:p w14:paraId="30D509B3" w14:textId="77777777" w:rsidR="00C42D38" w:rsidRDefault="00C42D38" w:rsidP="00C42D38">
      <w:pPr>
        <w:pStyle w:val="REG-P0"/>
      </w:pPr>
    </w:p>
    <w:p w14:paraId="77E1F6CF" w14:textId="77777777" w:rsidR="00C42D38" w:rsidRPr="00034D75" w:rsidRDefault="00206481" w:rsidP="00034D75">
      <w:pPr>
        <w:pStyle w:val="REG-P0"/>
      </w:pPr>
      <w:r w:rsidRPr="00034D75">
        <w:rPr>
          <w:b/>
        </w:rPr>
        <w:t>“stage B</w:t>
      </w:r>
      <w:r w:rsidRPr="00034D75">
        <w:t xml:space="preserve"> (documentation stage) means preparing documents for the procurement of contracts;</w:t>
      </w:r>
    </w:p>
    <w:p w14:paraId="32C65AC9" w14:textId="77777777" w:rsidR="00C42D38" w:rsidRPr="00034D75" w:rsidRDefault="00C42D38" w:rsidP="00034D75">
      <w:pPr>
        <w:pStyle w:val="REG-P0"/>
      </w:pPr>
    </w:p>
    <w:p w14:paraId="7E95A6F5" w14:textId="77777777" w:rsidR="00C42D38" w:rsidRPr="00034D75" w:rsidRDefault="00206481" w:rsidP="00034D75">
      <w:pPr>
        <w:pStyle w:val="REG-P0"/>
      </w:pPr>
      <w:r w:rsidRPr="00034D75">
        <w:rPr>
          <w:b/>
        </w:rPr>
        <w:t>“stage C</w:t>
      </w:r>
      <w:r w:rsidRPr="00034D75">
        <w:t xml:space="preserve"> (contract administration stage) means cost management and preparing valuations for the issue of payment certificates and shall include preparing documents for the procurement of sub-contracts expressed as provisional sums in the bills of quantities; and</w:t>
      </w:r>
    </w:p>
    <w:p w14:paraId="4E331251" w14:textId="77777777" w:rsidR="00C42D38" w:rsidRDefault="00C42D38" w:rsidP="00C42D38">
      <w:pPr>
        <w:pStyle w:val="REG-P0"/>
        <w:rPr>
          <w:sz w:val="23"/>
        </w:rPr>
      </w:pPr>
    </w:p>
    <w:p w14:paraId="18529D72" w14:textId="77777777" w:rsidR="00C42D38" w:rsidRPr="00034D75" w:rsidRDefault="00206481" w:rsidP="00034D75">
      <w:pPr>
        <w:pStyle w:val="REG-P0"/>
      </w:pPr>
      <w:r w:rsidRPr="00034D75">
        <w:rPr>
          <w:b/>
        </w:rPr>
        <w:t>“stage D</w:t>
      </w:r>
      <w:r w:rsidRPr="00034D75">
        <w:t xml:space="preserve"> (final account stage) means preparing and concluding the final account;</w:t>
      </w:r>
    </w:p>
    <w:p w14:paraId="346EE718" w14:textId="77777777" w:rsidR="00BD2D70" w:rsidRDefault="00BD2D70" w:rsidP="00C42D38">
      <w:pPr>
        <w:pStyle w:val="REG-P0"/>
        <w:rPr>
          <w:sz w:val="21"/>
        </w:rPr>
      </w:pPr>
    </w:p>
    <w:p w14:paraId="1DA464E7" w14:textId="77777777" w:rsidR="00BD2D70" w:rsidRPr="007F203C" w:rsidRDefault="002875AB" w:rsidP="00BD2D70">
      <w:pPr>
        <w:pStyle w:val="REG-Amend"/>
      </w:pPr>
      <w:r>
        <w:t xml:space="preserve">[Closing quotation marks are </w:t>
      </w:r>
      <w:r w:rsidR="00206481">
        <w:t>missing in the definition</w:t>
      </w:r>
      <w:r>
        <w:t>s</w:t>
      </w:r>
      <w:r w:rsidR="00206481">
        <w:t xml:space="preserve"> of "stage B", "stage C" and "stage D" </w:t>
      </w:r>
      <w:r>
        <w:br/>
      </w:r>
      <w:r w:rsidR="00206481">
        <w:t xml:space="preserve">in the </w:t>
      </w:r>
      <w:r w:rsidR="00206481">
        <w:rPr>
          <w:i/>
        </w:rPr>
        <w:t>Government Gazette</w:t>
      </w:r>
      <w:r w:rsidR="00206481">
        <w:t>, as reproduced above</w:t>
      </w:r>
      <w:r>
        <w:t>.</w:t>
      </w:r>
      <w:r w:rsidR="00206481">
        <w:t>]</w:t>
      </w:r>
    </w:p>
    <w:p w14:paraId="46BFBBF2" w14:textId="77777777" w:rsidR="00C42D38" w:rsidRDefault="00C42D38" w:rsidP="00C42D38">
      <w:pPr>
        <w:pStyle w:val="REG-P0"/>
        <w:rPr>
          <w:sz w:val="26"/>
        </w:rPr>
      </w:pPr>
    </w:p>
    <w:p w14:paraId="449A1E70" w14:textId="77777777" w:rsidR="00C42D38" w:rsidRPr="00E43277" w:rsidRDefault="00206481" w:rsidP="00E43277">
      <w:pPr>
        <w:pStyle w:val="REG-P0"/>
      </w:pPr>
      <w:r w:rsidRPr="00E43277">
        <w:rPr>
          <w:b/>
        </w:rPr>
        <w:t>“small or simple building works”</w:t>
      </w:r>
      <w:r w:rsidRPr="00E43277">
        <w:t xml:space="preserve"> means works documented in accordance with the latest edition of the Standard System of Measuring Building Work for Small or Simple Buildings published by the Association of South African Quantity Surveyors;</w:t>
      </w:r>
    </w:p>
    <w:p w14:paraId="678E7B43" w14:textId="77777777" w:rsidR="00C42D38" w:rsidRDefault="00C42D38" w:rsidP="00C42D38">
      <w:pPr>
        <w:pStyle w:val="REG-P0"/>
        <w:rPr>
          <w:sz w:val="23"/>
        </w:rPr>
      </w:pPr>
    </w:p>
    <w:p w14:paraId="601BAB9B" w14:textId="77777777" w:rsidR="00C42D38" w:rsidRPr="00E43277" w:rsidRDefault="00206481" w:rsidP="00E43277">
      <w:pPr>
        <w:pStyle w:val="REG-P0"/>
      </w:pPr>
      <w:r w:rsidRPr="00E43277">
        <w:rPr>
          <w:b/>
        </w:rPr>
        <w:t>“tenant requirements”</w:t>
      </w:r>
      <w:r w:rsidRPr="00E43277">
        <w:t xml:space="preserve"> means the evaluation of tenant requirements involving separate accounting for each tenant.</w:t>
      </w:r>
    </w:p>
    <w:p w14:paraId="2093333A" w14:textId="77777777" w:rsidR="00C42D38" w:rsidRPr="00E43277" w:rsidRDefault="00C42D38" w:rsidP="00E43277">
      <w:pPr>
        <w:pStyle w:val="REG-P0"/>
      </w:pPr>
    </w:p>
    <w:p w14:paraId="4A20EA59" w14:textId="77777777" w:rsidR="003101CC" w:rsidRPr="003101CC" w:rsidRDefault="00206481" w:rsidP="003101CC">
      <w:pPr>
        <w:pStyle w:val="REG-P0"/>
        <w:rPr>
          <w:b/>
        </w:rPr>
      </w:pPr>
      <w:r w:rsidRPr="003101CC">
        <w:rPr>
          <w:b/>
        </w:rPr>
        <w:t>Fees</w:t>
      </w:r>
    </w:p>
    <w:p w14:paraId="6BCB2D99" w14:textId="77777777" w:rsidR="003101CC" w:rsidRPr="003101CC" w:rsidRDefault="003101CC" w:rsidP="003101CC">
      <w:pPr>
        <w:pStyle w:val="REG-P0"/>
      </w:pPr>
    </w:p>
    <w:p w14:paraId="6CA13B8B" w14:textId="77777777" w:rsidR="003101CC" w:rsidRPr="003101CC" w:rsidRDefault="00206481" w:rsidP="003101CC">
      <w:pPr>
        <w:pStyle w:val="REG-P1"/>
      </w:pPr>
      <w:r>
        <w:rPr>
          <w:b/>
        </w:rPr>
        <w:t>2.</w:t>
      </w:r>
      <w:r>
        <w:rPr>
          <w:b/>
        </w:rPr>
        <w:tab/>
      </w:r>
      <w:r w:rsidRPr="00E43277">
        <w:t>(1)</w:t>
      </w:r>
      <w:r w:rsidRPr="00E43277">
        <w:tab/>
        <w:t>All fees set out in this tariff of professional fees exclude General Sales Tax</w:t>
      </w:r>
    </w:p>
    <w:p w14:paraId="0076322B" w14:textId="77777777" w:rsidR="003101CC" w:rsidRDefault="003101CC" w:rsidP="003101CC">
      <w:pPr>
        <w:pStyle w:val="REG-P1"/>
      </w:pPr>
    </w:p>
    <w:p w14:paraId="516F5A09" w14:textId="77777777" w:rsidR="00E43277" w:rsidRDefault="00E43277" w:rsidP="00E43277">
      <w:pPr>
        <w:pStyle w:val="REG-Amend"/>
      </w:pPr>
      <w:r>
        <w:t xml:space="preserve">[There is no full stop at the end of subitem (1) in the </w:t>
      </w:r>
      <w:r w:rsidRPr="00E43277">
        <w:rPr>
          <w:i/>
        </w:rPr>
        <w:t>Government Gazette</w:t>
      </w:r>
      <w:r>
        <w:t xml:space="preserve">.] </w:t>
      </w:r>
    </w:p>
    <w:p w14:paraId="37DDF0E0" w14:textId="77777777" w:rsidR="00E43277" w:rsidRPr="003101CC" w:rsidRDefault="00E43277" w:rsidP="003101CC">
      <w:pPr>
        <w:pStyle w:val="REG-P1"/>
      </w:pPr>
    </w:p>
    <w:p w14:paraId="586E8C01" w14:textId="77777777" w:rsidR="003101CC" w:rsidRPr="000330E8" w:rsidRDefault="00206481" w:rsidP="000330E8">
      <w:pPr>
        <w:pStyle w:val="REG-P1"/>
      </w:pPr>
      <w:r w:rsidRPr="000330E8">
        <w:t>(2)</w:t>
      </w:r>
      <w:r w:rsidRPr="000330E8">
        <w:tab/>
        <w:t xml:space="preserve">The </w:t>
      </w:r>
      <w:r w:rsidRPr="000330E8">
        <w:rPr>
          <w:b/>
        </w:rPr>
        <w:t>fee</w:t>
      </w:r>
      <w:r w:rsidRPr="000330E8">
        <w:t xml:space="preserve"> shall, unless otherwise stated, be the </w:t>
      </w:r>
      <w:r w:rsidRPr="000330E8">
        <w:rPr>
          <w:b/>
        </w:rPr>
        <w:t>basic fee</w:t>
      </w:r>
      <w:r w:rsidRPr="000330E8">
        <w:t xml:space="preserve"> multiplied by the </w:t>
      </w:r>
      <w:r w:rsidRPr="000330E8">
        <w:rPr>
          <w:b/>
        </w:rPr>
        <w:t xml:space="preserve">appropriate percentage </w:t>
      </w:r>
      <w:r w:rsidRPr="000330E8">
        <w:t>and shall be apportioned as set out in the apportionment of fees to services: Provided that -</w:t>
      </w:r>
    </w:p>
    <w:p w14:paraId="23FDD8E8" w14:textId="77777777" w:rsidR="003101CC" w:rsidRPr="003101CC" w:rsidRDefault="003101CC" w:rsidP="003101CC">
      <w:pPr>
        <w:pStyle w:val="REG-P0"/>
      </w:pPr>
    </w:p>
    <w:p w14:paraId="5C770E40" w14:textId="77777777" w:rsidR="003101CC" w:rsidRPr="003101CC" w:rsidRDefault="00206481" w:rsidP="003101CC">
      <w:pPr>
        <w:pStyle w:val="REG-Pa"/>
      </w:pPr>
      <w:r>
        <w:t>(a)</w:t>
      </w:r>
      <w:r>
        <w:tab/>
      </w:r>
      <w:r w:rsidRPr="003101CC">
        <w:t xml:space="preserve">the </w:t>
      </w:r>
      <w:r w:rsidRPr="003101CC">
        <w:rPr>
          <w:b/>
        </w:rPr>
        <w:t>basic fee</w:t>
      </w:r>
      <w:r w:rsidRPr="003101CC">
        <w:t xml:space="preserve"> in respect of </w:t>
      </w:r>
      <w:r w:rsidRPr="001F1765">
        <w:rPr>
          <w:b/>
        </w:rPr>
        <w:t>stage A</w:t>
      </w:r>
      <w:r w:rsidRPr="003101CC">
        <w:t xml:space="preserve"> and </w:t>
      </w:r>
      <w:r w:rsidRPr="001F1765">
        <w:rPr>
          <w:b/>
        </w:rPr>
        <w:t>stage B</w:t>
      </w:r>
      <w:r w:rsidRPr="003101CC">
        <w:t xml:space="preserve"> shall be calculated on the </w:t>
      </w:r>
      <w:r w:rsidRPr="001F1765">
        <w:rPr>
          <w:b/>
        </w:rPr>
        <w:t>contract value</w:t>
      </w:r>
      <w:r w:rsidRPr="003101CC">
        <w:t xml:space="preserve"> and in respect of </w:t>
      </w:r>
      <w:r w:rsidRPr="001F1765">
        <w:rPr>
          <w:b/>
        </w:rPr>
        <w:t>stage C</w:t>
      </w:r>
      <w:r w:rsidRPr="003101CC">
        <w:t xml:space="preserve"> and </w:t>
      </w:r>
      <w:r w:rsidRPr="001F1765">
        <w:rPr>
          <w:b/>
        </w:rPr>
        <w:t>stage D</w:t>
      </w:r>
      <w:r w:rsidRPr="003101CC">
        <w:t xml:space="preserve">, shall be calculated on the </w:t>
      </w:r>
      <w:r w:rsidRPr="001F1765">
        <w:rPr>
          <w:b/>
        </w:rPr>
        <w:t>final value of the contract</w:t>
      </w:r>
      <w:r w:rsidRPr="003101CC">
        <w:t>;</w:t>
      </w:r>
    </w:p>
    <w:p w14:paraId="5E6AA283" w14:textId="77777777" w:rsidR="003101CC" w:rsidRPr="003101CC" w:rsidRDefault="003101CC" w:rsidP="003101CC">
      <w:pPr>
        <w:pStyle w:val="REG-Pa"/>
      </w:pPr>
    </w:p>
    <w:p w14:paraId="3BE95FB2" w14:textId="77777777" w:rsidR="003101CC" w:rsidRPr="003101CC" w:rsidRDefault="00206481" w:rsidP="003101CC">
      <w:pPr>
        <w:pStyle w:val="REG-Pa"/>
      </w:pPr>
      <w:r>
        <w:t>(b)</w:t>
      </w:r>
      <w:r>
        <w:tab/>
      </w:r>
      <w:r w:rsidRPr="003101CC">
        <w:t xml:space="preserve">where a single </w:t>
      </w:r>
      <w:r w:rsidRPr="001F1765">
        <w:rPr>
          <w:b/>
        </w:rPr>
        <w:t>building works</w:t>
      </w:r>
      <w:r w:rsidRPr="003101CC">
        <w:t xml:space="preserve"> contract includes categories of work covered by more than one </w:t>
      </w:r>
      <w:r w:rsidRPr="001F1765">
        <w:rPr>
          <w:b/>
        </w:rPr>
        <w:t>appropriate percentage</w:t>
      </w:r>
      <w:r w:rsidRPr="003101CC">
        <w:t xml:space="preserve">, the </w:t>
      </w:r>
      <w:r w:rsidRPr="001F1765">
        <w:rPr>
          <w:b/>
        </w:rPr>
        <w:t>basic fee</w:t>
      </w:r>
      <w:r w:rsidRPr="003101CC">
        <w:t xml:space="preserve"> shall be apportioned to each category of work before multiplying each apportionment by the applicable </w:t>
      </w:r>
      <w:r w:rsidRPr="001F1765">
        <w:rPr>
          <w:b/>
        </w:rPr>
        <w:t>appropriate percentage</w:t>
      </w:r>
      <w:r w:rsidRPr="003101CC">
        <w:t>;</w:t>
      </w:r>
    </w:p>
    <w:p w14:paraId="0308FCEB" w14:textId="77777777" w:rsidR="003101CC" w:rsidRPr="003101CC" w:rsidRDefault="003101CC" w:rsidP="003101CC">
      <w:pPr>
        <w:pStyle w:val="REG-Pa"/>
      </w:pPr>
    </w:p>
    <w:p w14:paraId="0ADB8144" w14:textId="77777777" w:rsidR="003101CC" w:rsidRPr="003101CC" w:rsidRDefault="00206481" w:rsidP="003101CC">
      <w:pPr>
        <w:pStyle w:val="REG-Pa"/>
      </w:pPr>
      <w:r>
        <w:t>(c)</w:t>
      </w:r>
      <w:r>
        <w:tab/>
      </w:r>
      <w:r w:rsidRPr="003101CC">
        <w:t xml:space="preserve">where a contract for work other than a </w:t>
      </w:r>
      <w:r w:rsidRPr="001F1765">
        <w:rPr>
          <w:b/>
        </w:rPr>
        <w:t>building works</w:t>
      </w:r>
      <w:r w:rsidRPr="003101CC">
        <w:t xml:space="preserve"> contract includes more than one category of building or engineering work, the </w:t>
      </w:r>
      <w:r w:rsidRPr="001F1765">
        <w:rPr>
          <w:b/>
        </w:rPr>
        <w:t>basic fee</w:t>
      </w:r>
      <w:r w:rsidRPr="003101CC">
        <w:t xml:space="preserve"> shall be separately calculated for each category of work before multiplying by the applicable </w:t>
      </w:r>
      <w:r w:rsidRPr="001F1765">
        <w:rPr>
          <w:b/>
        </w:rPr>
        <w:t>appropriate percentage</w:t>
      </w:r>
      <w:r w:rsidRPr="003101CC">
        <w:t>; and</w:t>
      </w:r>
    </w:p>
    <w:p w14:paraId="21FAC288" w14:textId="77777777" w:rsidR="003101CC" w:rsidRPr="003101CC" w:rsidRDefault="003101CC" w:rsidP="003101CC">
      <w:pPr>
        <w:pStyle w:val="REG-Pa"/>
      </w:pPr>
    </w:p>
    <w:p w14:paraId="2C05A80D" w14:textId="77777777" w:rsidR="00BD2D70" w:rsidRDefault="00206481" w:rsidP="003101CC">
      <w:pPr>
        <w:pStyle w:val="REG-Pa"/>
      </w:pPr>
      <w:r>
        <w:t>(d)</w:t>
      </w:r>
      <w:r>
        <w:tab/>
      </w:r>
      <w:r w:rsidRPr="003101CC">
        <w:t xml:space="preserve">where, in respect of </w:t>
      </w:r>
      <w:r w:rsidRPr="001F1765">
        <w:rPr>
          <w:b/>
        </w:rPr>
        <w:t>replication</w:t>
      </w:r>
      <w:r w:rsidRPr="003101CC">
        <w:t xml:space="preserve">, minor differences and work measured provisionally are individually adjusted in the final account, such portions, but not the remainder, shall in respect of </w:t>
      </w:r>
      <w:r w:rsidRPr="001F1765">
        <w:rPr>
          <w:b/>
        </w:rPr>
        <w:t>stage C</w:t>
      </w:r>
      <w:r w:rsidRPr="003101CC">
        <w:t xml:space="preserve"> and </w:t>
      </w:r>
      <w:r w:rsidRPr="001F1765">
        <w:rPr>
          <w:b/>
        </w:rPr>
        <w:t>stage D</w:t>
      </w:r>
      <w:r w:rsidRPr="003101CC">
        <w:t xml:space="preserve"> be considered to be non-replication work</w:t>
      </w:r>
      <w:r>
        <w:t>.</w:t>
      </w:r>
    </w:p>
    <w:p w14:paraId="700CBE58" w14:textId="77777777" w:rsidR="003101CC" w:rsidRDefault="003101CC" w:rsidP="003101CC">
      <w:pPr>
        <w:pStyle w:val="REG-Pa"/>
      </w:pPr>
    </w:p>
    <w:p w14:paraId="33EF2055" w14:textId="77777777" w:rsidR="003101CC" w:rsidRPr="000330E8" w:rsidRDefault="00206481" w:rsidP="000330E8">
      <w:pPr>
        <w:pStyle w:val="REG-P1"/>
      </w:pPr>
      <w:r w:rsidRPr="000330E8">
        <w:t>(</w:t>
      </w:r>
      <w:r w:rsidR="001F1765" w:rsidRPr="000330E8">
        <w:t>3</w:t>
      </w:r>
      <w:r w:rsidRPr="000330E8">
        <w:t>)</w:t>
      </w:r>
      <w:r w:rsidRPr="000330E8">
        <w:tab/>
        <w:t xml:space="preserve">Each apportionment or category shall include the </w:t>
      </w:r>
      <w:r w:rsidRPr="000330E8">
        <w:rPr>
          <w:i/>
        </w:rPr>
        <w:t>pro rata</w:t>
      </w:r>
      <w:r w:rsidRPr="000330E8">
        <w:t xml:space="preserve"> value of preliminaries and where applicable, the </w:t>
      </w:r>
      <w:r w:rsidRPr="000330E8">
        <w:rPr>
          <w:i/>
        </w:rPr>
        <w:t>pro rata</w:t>
      </w:r>
      <w:r w:rsidRPr="000330E8">
        <w:t xml:space="preserve"> amount of adjustment under any applicable contract price adjustment provision, unless the actual value of preliminaries or amount of adjustment for each apportionment or category can be readily determined.</w:t>
      </w:r>
    </w:p>
    <w:p w14:paraId="77B81D64" w14:textId="77777777" w:rsidR="003101CC" w:rsidRDefault="003101CC" w:rsidP="003101CC">
      <w:pPr>
        <w:pStyle w:val="REG-P0"/>
        <w:rPr>
          <w:sz w:val="24"/>
        </w:rPr>
      </w:pPr>
    </w:p>
    <w:p w14:paraId="6D4C6E3A" w14:textId="77777777" w:rsidR="003101CC" w:rsidRPr="00B60A07" w:rsidRDefault="00206481" w:rsidP="00B60A07">
      <w:pPr>
        <w:pStyle w:val="REG-P1"/>
      </w:pPr>
      <w:r w:rsidRPr="00B60A07">
        <w:t>(4)</w:t>
      </w:r>
      <w:r w:rsidRPr="00B60A07">
        <w:tab/>
        <w:t xml:space="preserve">The </w:t>
      </w:r>
      <w:r w:rsidRPr="00B60A07">
        <w:rPr>
          <w:b/>
        </w:rPr>
        <w:t>basic fee</w:t>
      </w:r>
      <w:r w:rsidRPr="00B60A07">
        <w:t xml:space="preserve"> shall be as follows:</w:t>
      </w:r>
    </w:p>
    <w:p w14:paraId="766C28BB" w14:textId="77777777" w:rsidR="003101CC" w:rsidRPr="00F568EE" w:rsidRDefault="003101CC" w:rsidP="00F568EE">
      <w:pPr>
        <w:pStyle w:val="REG-P0"/>
      </w:pPr>
    </w:p>
    <w:tbl>
      <w:tblPr>
        <w:tblW w:w="7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0" w:type="dxa"/>
          <w:bottom w:w="57" w:type="dxa"/>
          <w:right w:w="0" w:type="dxa"/>
        </w:tblCellMar>
        <w:tblLook w:val="01E0" w:firstRow="1" w:lastRow="1" w:firstColumn="1" w:lastColumn="1" w:noHBand="0" w:noVBand="0"/>
      </w:tblPr>
      <w:tblGrid>
        <w:gridCol w:w="422"/>
        <w:gridCol w:w="1032"/>
        <w:gridCol w:w="106"/>
        <w:gridCol w:w="63"/>
        <w:gridCol w:w="92"/>
        <w:gridCol w:w="245"/>
        <w:gridCol w:w="92"/>
        <w:gridCol w:w="1067"/>
        <w:gridCol w:w="1276"/>
        <w:gridCol w:w="3402"/>
      </w:tblGrid>
      <w:tr w:rsidR="00C05CAA" w14:paraId="18CA3BF4" w14:textId="77777777" w:rsidTr="004D3DCA">
        <w:tc>
          <w:tcPr>
            <w:tcW w:w="3119" w:type="dxa"/>
            <w:gridSpan w:val="8"/>
            <w:vMerge w:val="restart"/>
            <w:tcBorders>
              <w:right w:val="single" w:sz="4" w:space="0" w:color="000000"/>
            </w:tcBorders>
            <w:vAlign w:val="center"/>
          </w:tcPr>
          <w:p w14:paraId="6FCC70EE" w14:textId="21B8C751" w:rsidR="00C05CAA" w:rsidRPr="001F1765" w:rsidRDefault="00C05CAA" w:rsidP="00FC6E5C">
            <w:pPr>
              <w:pStyle w:val="REG-P0"/>
              <w:jc w:val="center"/>
              <w:rPr>
                <w:b/>
                <w:w w:val="110"/>
                <w:sz w:val="20"/>
                <w:szCs w:val="20"/>
              </w:rPr>
            </w:pPr>
            <w:bookmarkStart w:id="1" w:name="_Hlk76544165"/>
            <w:r w:rsidRPr="001F1765">
              <w:rPr>
                <w:w w:val="105"/>
                <w:sz w:val="20"/>
                <w:szCs w:val="20"/>
              </w:rPr>
              <w:t>Value category</w:t>
            </w:r>
          </w:p>
        </w:tc>
        <w:tc>
          <w:tcPr>
            <w:tcW w:w="4678" w:type="dxa"/>
            <w:gridSpan w:val="2"/>
            <w:tcBorders>
              <w:left w:val="single" w:sz="4" w:space="0" w:color="000000"/>
              <w:bottom w:val="single" w:sz="4" w:space="0" w:color="000000"/>
            </w:tcBorders>
            <w:vAlign w:val="center"/>
          </w:tcPr>
          <w:p w14:paraId="3B67D103" w14:textId="6C1EAC7F" w:rsidR="00C05CAA" w:rsidRPr="001F1765" w:rsidRDefault="00C05CAA" w:rsidP="00FC6E5C">
            <w:pPr>
              <w:pStyle w:val="REG-P0"/>
              <w:jc w:val="center"/>
              <w:rPr>
                <w:b/>
                <w:sz w:val="20"/>
                <w:szCs w:val="20"/>
              </w:rPr>
            </w:pPr>
            <w:r w:rsidRPr="001F1765">
              <w:rPr>
                <w:b/>
                <w:w w:val="110"/>
                <w:sz w:val="20"/>
                <w:szCs w:val="20"/>
              </w:rPr>
              <w:t>Basic fee</w:t>
            </w:r>
          </w:p>
        </w:tc>
      </w:tr>
      <w:tr w:rsidR="00C05CAA" w14:paraId="43AB6CD1" w14:textId="77777777" w:rsidTr="004D3DCA">
        <w:tc>
          <w:tcPr>
            <w:tcW w:w="3119" w:type="dxa"/>
            <w:gridSpan w:val="8"/>
            <w:vMerge/>
            <w:tcBorders>
              <w:right w:val="single" w:sz="4" w:space="0" w:color="000000"/>
            </w:tcBorders>
            <w:vAlign w:val="center"/>
          </w:tcPr>
          <w:p w14:paraId="79C88E93" w14:textId="0F90E190" w:rsidR="00C05CAA" w:rsidRPr="001F1765" w:rsidRDefault="00C05CAA" w:rsidP="00FC6E5C">
            <w:pPr>
              <w:pStyle w:val="REG-P0"/>
              <w:jc w:val="center"/>
              <w:rPr>
                <w:w w:val="105"/>
                <w:sz w:val="20"/>
                <w:szCs w:val="20"/>
              </w:rPr>
            </w:pPr>
          </w:p>
        </w:tc>
        <w:tc>
          <w:tcPr>
            <w:tcW w:w="1276" w:type="dxa"/>
            <w:tcBorders>
              <w:top w:val="single" w:sz="4" w:space="0" w:color="000000"/>
              <w:left w:val="single" w:sz="4" w:space="0" w:color="000000"/>
              <w:right w:val="single" w:sz="4" w:space="0" w:color="000000"/>
            </w:tcBorders>
            <w:vAlign w:val="center"/>
          </w:tcPr>
          <w:p w14:paraId="195FE9CB" w14:textId="111550C7" w:rsidR="00C05CAA" w:rsidRDefault="00C05CAA" w:rsidP="00FC6E5C">
            <w:pPr>
              <w:pStyle w:val="REG-P0"/>
              <w:jc w:val="center"/>
              <w:rPr>
                <w:w w:val="105"/>
                <w:sz w:val="20"/>
                <w:szCs w:val="20"/>
              </w:rPr>
            </w:pPr>
            <w:r w:rsidRPr="001F1765">
              <w:rPr>
                <w:w w:val="105"/>
                <w:sz w:val="20"/>
                <w:szCs w:val="20"/>
              </w:rPr>
              <w:t>Primary</w:t>
            </w:r>
          </w:p>
          <w:p w14:paraId="0F98C2BA" w14:textId="77777777" w:rsidR="00C05CAA" w:rsidRPr="001F1765" w:rsidRDefault="00C05CAA" w:rsidP="00FC6E5C">
            <w:pPr>
              <w:pStyle w:val="REG-P0"/>
              <w:jc w:val="center"/>
              <w:rPr>
                <w:sz w:val="20"/>
                <w:szCs w:val="20"/>
              </w:rPr>
            </w:pPr>
            <w:r w:rsidRPr="001F1765">
              <w:rPr>
                <w:w w:val="105"/>
                <w:sz w:val="20"/>
                <w:szCs w:val="20"/>
              </w:rPr>
              <w:t>charge</w:t>
            </w:r>
          </w:p>
        </w:tc>
        <w:tc>
          <w:tcPr>
            <w:tcW w:w="3402" w:type="dxa"/>
            <w:tcBorders>
              <w:top w:val="single" w:sz="4" w:space="0" w:color="000000"/>
              <w:left w:val="single" w:sz="4" w:space="0" w:color="000000"/>
            </w:tcBorders>
            <w:vAlign w:val="center"/>
          </w:tcPr>
          <w:p w14:paraId="727312F6" w14:textId="77777777" w:rsidR="00C05CAA" w:rsidRPr="001F1765" w:rsidRDefault="00C05CAA" w:rsidP="00FC6E5C">
            <w:pPr>
              <w:pStyle w:val="REG-P0"/>
              <w:jc w:val="center"/>
              <w:rPr>
                <w:sz w:val="20"/>
                <w:szCs w:val="20"/>
              </w:rPr>
            </w:pPr>
            <w:r w:rsidRPr="001F1765">
              <w:rPr>
                <w:w w:val="105"/>
                <w:sz w:val="20"/>
                <w:szCs w:val="20"/>
              </w:rPr>
              <w:t>Marginal rate</w:t>
            </w:r>
          </w:p>
        </w:tc>
      </w:tr>
      <w:tr w:rsidR="00C05CAA" w14:paraId="1476CEEE" w14:textId="77777777" w:rsidTr="004D3DCA">
        <w:tc>
          <w:tcPr>
            <w:tcW w:w="3119" w:type="dxa"/>
            <w:gridSpan w:val="8"/>
            <w:tcBorders>
              <w:bottom w:val="single" w:sz="8" w:space="0" w:color="000000"/>
              <w:right w:val="single" w:sz="4" w:space="0" w:color="000000"/>
            </w:tcBorders>
            <w:vAlign w:val="center"/>
          </w:tcPr>
          <w:p w14:paraId="4777E032" w14:textId="32073215" w:rsidR="00C05CAA" w:rsidRPr="001F1765" w:rsidRDefault="00C05CAA" w:rsidP="00FC6E5C">
            <w:pPr>
              <w:pStyle w:val="REG-P0"/>
              <w:jc w:val="center"/>
              <w:rPr>
                <w:w w:val="104"/>
                <w:sz w:val="20"/>
                <w:szCs w:val="20"/>
              </w:rPr>
            </w:pPr>
            <w:r>
              <w:rPr>
                <w:w w:val="66"/>
                <w:sz w:val="20"/>
                <w:szCs w:val="20"/>
              </w:rPr>
              <w:t>1</w:t>
            </w:r>
          </w:p>
        </w:tc>
        <w:tc>
          <w:tcPr>
            <w:tcW w:w="1276" w:type="dxa"/>
            <w:tcBorders>
              <w:left w:val="single" w:sz="4" w:space="0" w:color="000000"/>
              <w:right w:val="single" w:sz="4" w:space="0" w:color="000000"/>
            </w:tcBorders>
            <w:vAlign w:val="center"/>
          </w:tcPr>
          <w:p w14:paraId="4A117CB9" w14:textId="1E1284A8" w:rsidR="00C05CAA" w:rsidRPr="001F1765" w:rsidRDefault="00C05CAA" w:rsidP="00FC6E5C">
            <w:pPr>
              <w:pStyle w:val="REG-P0"/>
              <w:jc w:val="center"/>
              <w:rPr>
                <w:sz w:val="20"/>
                <w:szCs w:val="20"/>
              </w:rPr>
            </w:pPr>
            <w:r w:rsidRPr="001F1765">
              <w:rPr>
                <w:w w:val="104"/>
                <w:sz w:val="20"/>
                <w:szCs w:val="20"/>
              </w:rPr>
              <w:t>2</w:t>
            </w:r>
          </w:p>
        </w:tc>
        <w:tc>
          <w:tcPr>
            <w:tcW w:w="3402" w:type="dxa"/>
            <w:tcBorders>
              <w:left w:val="single" w:sz="4" w:space="0" w:color="000000"/>
            </w:tcBorders>
            <w:vAlign w:val="center"/>
          </w:tcPr>
          <w:p w14:paraId="1BEAA98A" w14:textId="77777777" w:rsidR="00C05CAA" w:rsidRPr="001F1765" w:rsidRDefault="00C05CAA" w:rsidP="00FC6E5C">
            <w:pPr>
              <w:pStyle w:val="REG-P0"/>
              <w:jc w:val="center"/>
              <w:rPr>
                <w:sz w:val="20"/>
                <w:szCs w:val="20"/>
              </w:rPr>
            </w:pPr>
            <w:r w:rsidRPr="001F1765">
              <w:rPr>
                <w:sz w:val="20"/>
                <w:szCs w:val="20"/>
              </w:rPr>
              <w:t>3</w:t>
            </w:r>
          </w:p>
        </w:tc>
      </w:tr>
      <w:tr w:rsidR="00E115E5" w14:paraId="40729A04" w14:textId="77777777" w:rsidTr="004D3DCA">
        <w:tc>
          <w:tcPr>
            <w:tcW w:w="1560" w:type="dxa"/>
            <w:gridSpan w:val="3"/>
            <w:tcBorders>
              <w:bottom w:val="nil"/>
              <w:right w:val="nil"/>
            </w:tcBorders>
            <w:tcMar>
              <w:right w:w="0" w:type="dxa"/>
            </w:tcMar>
            <w:vAlign w:val="center"/>
          </w:tcPr>
          <w:p w14:paraId="26EF6F80" w14:textId="0086FA34" w:rsidR="00E115E5" w:rsidRPr="001F1765" w:rsidRDefault="00E115E5" w:rsidP="00E115E5">
            <w:pPr>
              <w:pStyle w:val="REG-P0"/>
              <w:ind w:right="68"/>
              <w:jc w:val="right"/>
              <w:rPr>
                <w:sz w:val="20"/>
                <w:szCs w:val="20"/>
              </w:rPr>
            </w:pPr>
            <w:r w:rsidRPr="001F1765">
              <w:rPr>
                <w:w w:val="105"/>
                <w:sz w:val="20"/>
                <w:szCs w:val="20"/>
              </w:rPr>
              <w:t>Up to</w:t>
            </w:r>
          </w:p>
        </w:tc>
        <w:tc>
          <w:tcPr>
            <w:tcW w:w="155" w:type="dxa"/>
            <w:gridSpan w:val="2"/>
            <w:tcBorders>
              <w:left w:val="nil"/>
              <w:bottom w:val="nil"/>
              <w:right w:val="nil"/>
            </w:tcBorders>
            <w:vAlign w:val="center"/>
          </w:tcPr>
          <w:p w14:paraId="7F031FD7" w14:textId="6CB0819C" w:rsidR="00E115E5" w:rsidRPr="001F1765" w:rsidRDefault="00E115E5" w:rsidP="00E115E5">
            <w:pPr>
              <w:pStyle w:val="REG-P0"/>
              <w:jc w:val="left"/>
              <w:rPr>
                <w:sz w:val="20"/>
                <w:szCs w:val="20"/>
              </w:rPr>
            </w:pPr>
            <w:r>
              <w:rPr>
                <w:w w:val="105"/>
                <w:position w:val="1"/>
                <w:sz w:val="20"/>
                <w:szCs w:val="20"/>
              </w:rPr>
              <w:t>-</w:t>
            </w:r>
          </w:p>
        </w:tc>
        <w:tc>
          <w:tcPr>
            <w:tcW w:w="337" w:type="dxa"/>
            <w:gridSpan w:val="2"/>
            <w:tcBorders>
              <w:left w:val="nil"/>
              <w:bottom w:val="nil"/>
              <w:right w:val="nil"/>
            </w:tcBorders>
            <w:tcMar>
              <w:left w:w="0" w:type="dxa"/>
              <w:right w:w="0" w:type="dxa"/>
            </w:tcMar>
            <w:vAlign w:val="center"/>
          </w:tcPr>
          <w:p w14:paraId="72069DF2" w14:textId="14EEF5E1" w:rsidR="00E115E5" w:rsidRPr="001F1765" w:rsidRDefault="00E115E5" w:rsidP="00E115E5">
            <w:pPr>
              <w:pStyle w:val="REG-P0"/>
              <w:jc w:val="left"/>
              <w:rPr>
                <w:sz w:val="20"/>
                <w:szCs w:val="20"/>
              </w:rPr>
            </w:pPr>
            <w:r w:rsidRPr="001F1765">
              <w:rPr>
                <w:w w:val="105"/>
                <w:sz w:val="20"/>
                <w:szCs w:val="20"/>
              </w:rPr>
              <w:t>N$</w:t>
            </w:r>
          </w:p>
        </w:tc>
        <w:tc>
          <w:tcPr>
            <w:tcW w:w="1067" w:type="dxa"/>
            <w:tcBorders>
              <w:left w:val="nil"/>
              <w:bottom w:val="nil"/>
              <w:right w:val="single" w:sz="4" w:space="0" w:color="000000"/>
            </w:tcBorders>
            <w:tcMar>
              <w:right w:w="68" w:type="dxa"/>
            </w:tcMar>
            <w:vAlign w:val="center"/>
          </w:tcPr>
          <w:p w14:paraId="34B4E7E3" w14:textId="30D613F6" w:rsidR="00E115E5" w:rsidRPr="001F1765" w:rsidRDefault="00E115E5" w:rsidP="00064E11">
            <w:pPr>
              <w:pStyle w:val="REG-P0"/>
              <w:jc w:val="right"/>
              <w:rPr>
                <w:sz w:val="20"/>
                <w:szCs w:val="20"/>
              </w:rPr>
            </w:pPr>
            <w:r w:rsidRPr="001F1765">
              <w:rPr>
                <w:w w:val="105"/>
                <w:sz w:val="20"/>
                <w:szCs w:val="20"/>
              </w:rPr>
              <w:t>250</w:t>
            </w:r>
            <w:r w:rsidRPr="001F1765">
              <w:rPr>
                <w:spacing w:val="-7"/>
                <w:w w:val="105"/>
                <w:sz w:val="20"/>
                <w:szCs w:val="20"/>
              </w:rPr>
              <w:t xml:space="preserve"> </w:t>
            </w:r>
            <w:r w:rsidRPr="001F1765">
              <w:rPr>
                <w:w w:val="105"/>
                <w:sz w:val="20"/>
                <w:szCs w:val="20"/>
              </w:rPr>
              <w:t>000</w:t>
            </w:r>
          </w:p>
        </w:tc>
        <w:tc>
          <w:tcPr>
            <w:tcW w:w="1276" w:type="dxa"/>
            <w:tcBorders>
              <w:left w:val="single" w:sz="4" w:space="0" w:color="000000"/>
              <w:bottom w:val="nil"/>
              <w:right w:val="single" w:sz="4" w:space="0" w:color="000000"/>
            </w:tcBorders>
            <w:tcMar>
              <w:left w:w="68" w:type="dxa"/>
              <w:right w:w="68" w:type="dxa"/>
            </w:tcMar>
            <w:vAlign w:val="center"/>
          </w:tcPr>
          <w:p w14:paraId="22A39339" w14:textId="25F95553" w:rsidR="00E115E5" w:rsidRPr="001F1765" w:rsidRDefault="00E115E5" w:rsidP="00240137">
            <w:pPr>
              <w:pStyle w:val="REG-P0"/>
              <w:tabs>
                <w:tab w:val="clear" w:pos="567"/>
              </w:tabs>
              <w:jc w:val="right"/>
              <w:rPr>
                <w:sz w:val="20"/>
                <w:szCs w:val="20"/>
              </w:rPr>
            </w:pPr>
            <w:r w:rsidRPr="001F1765">
              <w:rPr>
                <w:sz w:val="20"/>
                <w:szCs w:val="20"/>
              </w:rPr>
              <w:t>N$</w:t>
            </w:r>
            <w:r>
              <w:rPr>
                <w:sz w:val="20"/>
                <w:szCs w:val="20"/>
              </w:rPr>
              <w:t xml:space="preserve">      </w:t>
            </w:r>
            <w:r w:rsidRPr="001F1765">
              <w:rPr>
                <w:sz w:val="20"/>
                <w:szCs w:val="20"/>
              </w:rPr>
              <w:t>1</w:t>
            </w:r>
            <w:r w:rsidRPr="001F1765">
              <w:rPr>
                <w:spacing w:val="30"/>
                <w:sz w:val="20"/>
                <w:szCs w:val="20"/>
              </w:rPr>
              <w:t xml:space="preserve"> </w:t>
            </w:r>
            <w:r w:rsidRPr="001F1765">
              <w:rPr>
                <w:sz w:val="20"/>
                <w:szCs w:val="20"/>
              </w:rPr>
              <w:t>380</w:t>
            </w:r>
          </w:p>
        </w:tc>
        <w:tc>
          <w:tcPr>
            <w:tcW w:w="3402" w:type="dxa"/>
            <w:tcBorders>
              <w:left w:val="single" w:sz="4" w:space="0" w:color="000000"/>
              <w:bottom w:val="nil"/>
            </w:tcBorders>
            <w:tcMar>
              <w:left w:w="68" w:type="dxa"/>
              <w:right w:w="68" w:type="dxa"/>
            </w:tcMar>
            <w:vAlign w:val="center"/>
          </w:tcPr>
          <w:p w14:paraId="7853C327" w14:textId="5F21D0CA" w:rsidR="00E115E5" w:rsidRPr="001F1765" w:rsidRDefault="00E115E5" w:rsidP="00FC7CA0">
            <w:pPr>
              <w:pStyle w:val="REG-P0"/>
              <w:tabs>
                <w:tab w:val="clear" w:pos="567"/>
                <w:tab w:val="left" w:pos="641"/>
                <w:tab w:val="left" w:pos="1080"/>
                <w:tab w:val="left" w:pos="1956"/>
                <w:tab w:val="left" w:pos="3043"/>
              </w:tabs>
              <w:jc w:val="left"/>
              <w:rPr>
                <w:sz w:val="20"/>
                <w:szCs w:val="20"/>
              </w:rPr>
            </w:pPr>
            <w:r w:rsidRPr="001F1765">
              <w:rPr>
                <w:position w:val="1"/>
                <w:sz w:val="20"/>
                <w:szCs w:val="20"/>
              </w:rPr>
              <w:t>5,50%</w:t>
            </w:r>
            <w:r>
              <w:rPr>
                <w:position w:val="1"/>
                <w:sz w:val="20"/>
                <w:szCs w:val="20"/>
              </w:rPr>
              <w:t xml:space="preserve"> </w:t>
            </w:r>
            <w:r w:rsidRPr="001F1765">
              <w:rPr>
                <w:position w:val="1"/>
                <w:sz w:val="20"/>
                <w:szCs w:val="20"/>
              </w:rPr>
              <w:t>on balance</w:t>
            </w:r>
            <w:r w:rsidRPr="001F1765">
              <w:rPr>
                <w:spacing w:val="22"/>
                <w:position w:val="1"/>
                <w:sz w:val="20"/>
                <w:szCs w:val="20"/>
              </w:rPr>
              <w:t xml:space="preserve"> </w:t>
            </w:r>
            <w:r w:rsidRPr="001F1765">
              <w:rPr>
                <w:position w:val="1"/>
                <w:sz w:val="20"/>
                <w:szCs w:val="20"/>
              </w:rPr>
              <w:t>over</w:t>
            </w:r>
            <w:r>
              <w:rPr>
                <w:spacing w:val="6"/>
                <w:position w:val="1"/>
                <w:sz w:val="20"/>
                <w:szCs w:val="20"/>
              </w:rPr>
              <w:tab/>
            </w:r>
            <w:r w:rsidRPr="001F1765">
              <w:rPr>
                <w:position w:val="1"/>
                <w:sz w:val="20"/>
                <w:szCs w:val="20"/>
              </w:rPr>
              <w:t>N$</w:t>
            </w:r>
            <w:r>
              <w:rPr>
                <w:sz w:val="20"/>
                <w:szCs w:val="20"/>
              </w:rPr>
              <w:t> </w:t>
            </w:r>
            <w:r>
              <w:rPr>
                <w:sz w:val="20"/>
                <w:szCs w:val="20"/>
              </w:rPr>
              <w:tab/>
            </w:r>
            <w:r w:rsidR="00F14A45">
              <w:rPr>
                <w:sz w:val="20"/>
                <w:szCs w:val="20"/>
              </w:rPr>
              <w:t xml:space="preserve"> </w:t>
            </w:r>
            <w:r w:rsidRPr="001F1765">
              <w:rPr>
                <w:sz w:val="20"/>
                <w:szCs w:val="20"/>
              </w:rPr>
              <w:t>0</w:t>
            </w:r>
          </w:p>
        </w:tc>
      </w:tr>
      <w:tr w:rsidR="004C25B5" w14:paraId="0B6D9080" w14:textId="77777777" w:rsidTr="004D3DCA">
        <w:tc>
          <w:tcPr>
            <w:tcW w:w="422" w:type="dxa"/>
            <w:tcBorders>
              <w:top w:val="nil"/>
              <w:bottom w:val="nil"/>
              <w:right w:val="nil"/>
            </w:tcBorders>
            <w:tcMar>
              <w:right w:w="0" w:type="dxa"/>
            </w:tcMar>
            <w:vAlign w:val="center"/>
          </w:tcPr>
          <w:p w14:paraId="087270D0" w14:textId="6DA55B4C" w:rsidR="00E70A5B" w:rsidRPr="001F1765" w:rsidRDefault="00E70A5B" w:rsidP="00C05CAA">
            <w:pPr>
              <w:pStyle w:val="REG-P0"/>
              <w:jc w:val="right"/>
              <w:rPr>
                <w:sz w:val="20"/>
                <w:szCs w:val="20"/>
              </w:rPr>
            </w:pPr>
            <w:r w:rsidRPr="001F1765">
              <w:rPr>
                <w:w w:val="105"/>
                <w:sz w:val="20"/>
                <w:szCs w:val="20"/>
              </w:rPr>
              <w:t>N$</w:t>
            </w:r>
          </w:p>
        </w:tc>
        <w:tc>
          <w:tcPr>
            <w:tcW w:w="1032" w:type="dxa"/>
            <w:tcBorders>
              <w:top w:val="nil"/>
              <w:left w:val="nil"/>
              <w:bottom w:val="nil"/>
              <w:right w:val="nil"/>
            </w:tcBorders>
            <w:tcMar>
              <w:left w:w="0" w:type="dxa"/>
              <w:right w:w="0" w:type="dxa"/>
            </w:tcMar>
            <w:vAlign w:val="center"/>
          </w:tcPr>
          <w:p w14:paraId="078B6632" w14:textId="1490D5BD" w:rsidR="00E70A5B" w:rsidRPr="001F1765" w:rsidRDefault="00E70A5B" w:rsidP="003B78FD">
            <w:pPr>
              <w:pStyle w:val="REG-P0"/>
              <w:jc w:val="right"/>
              <w:rPr>
                <w:sz w:val="20"/>
                <w:szCs w:val="20"/>
              </w:rPr>
            </w:pPr>
            <w:r w:rsidRPr="001F1765">
              <w:rPr>
                <w:w w:val="105"/>
                <w:sz w:val="20"/>
                <w:szCs w:val="20"/>
              </w:rPr>
              <w:t>250</w:t>
            </w:r>
            <w:r w:rsidRPr="001F1765">
              <w:rPr>
                <w:spacing w:val="-5"/>
                <w:w w:val="105"/>
                <w:sz w:val="20"/>
                <w:szCs w:val="20"/>
              </w:rPr>
              <w:t xml:space="preserve"> </w:t>
            </w:r>
            <w:r w:rsidRPr="001F1765">
              <w:rPr>
                <w:w w:val="105"/>
                <w:sz w:val="20"/>
                <w:szCs w:val="20"/>
              </w:rPr>
              <w:t>000</w:t>
            </w:r>
          </w:p>
        </w:tc>
        <w:tc>
          <w:tcPr>
            <w:tcW w:w="169" w:type="dxa"/>
            <w:gridSpan w:val="2"/>
            <w:tcBorders>
              <w:top w:val="nil"/>
              <w:left w:val="nil"/>
              <w:bottom w:val="nil"/>
              <w:right w:val="nil"/>
            </w:tcBorders>
            <w:tcMar>
              <w:left w:w="0" w:type="dxa"/>
              <w:right w:w="0" w:type="dxa"/>
            </w:tcMar>
            <w:vAlign w:val="center"/>
          </w:tcPr>
          <w:p w14:paraId="64B024E7" w14:textId="77518E5A" w:rsidR="00E70A5B" w:rsidRPr="001F1765" w:rsidRDefault="00E70A5B" w:rsidP="00C05CAA">
            <w:pPr>
              <w:pStyle w:val="REG-P0"/>
              <w:jc w:val="right"/>
              <w:rPr>
                <w:w w:val="105"/>
                <w:position w:val="1"/>
                <w:sz w:val="20"/>
                <w:szCs w:val="20"/>
              </w:rPr>
            </w:pPr>
            <w:r>
              <w:rPr>
                <w:w w:val="105"/>
                <w:position w:val="1"/>
                <w:sz w:val="20"/>
                <w:szCs w:val="20"/>
              </w:rPr>
              <w:t>-</w:t>
            </w:r>
          </w:p>
        </w:tc>
        <w:tc>
          <w:tcPr>
            <w:tcW w:w="337" w:type="dxa"/>
            <w:gridSpan w:val="2"/>
            <w:tcBorders>
              <w:top w:val="nil"/>
              <w:left w:val="nil"/>
              <w:bottom w:val="nil"/>
              <w:right w:val="nil"/>
            </w:tcBorders>
            <w:tcMar>
              <w:left w:w="0" w:type="dxa"/>
              <w:right w:w="0" w:type="dxa"/>
            </w:tcMar>
            <w:vAlign w:val="center"/>
          </w:tcPr>
          <w:p w14:paraId="5F8DD6D1" w14:textId="2E5B7296" w:rsidR="00E70A5B" w:rsidRPr="001F1765" w:rsidRDefault="00E70A5B" w:rsidP="00C05CAA">
            <w:pPr>
              <w:pStyle w:val="REG-P0"/>
              <w:jc w:val="right"/>
              <w:rPr>
                <w:w w:val="105"/>
                <w:position w:val="1"/>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3AEC5865" w14:textId="276B0BBF" w:rsidR="00E70A5B" w:rsidRPr="001F1765" w:rsidRDefault="00064E11" w:rsidP="00064E11">
            <w:pPr>
              <w:pStyle w:val="REG-P0"/>
              <w:jc w:val="right"/>
              <w:rPr>
                <w:w w:val="105"/>
                <w:position w:val="1"/>
                <w:sz w:val="20"/>
                <w:szCs w:val="20"/>
              </w:rPr>
            </w:pPr>
            <w:r w:rsidRPr="001F1765">
              <w:rPr>
                <w:w w:val="105"/>
                <w:sz w:val="20"/>
                <w:szCs w:val="20"/>
              </w:rPr>
              <w:t>500</w:t>
            </w:r>
            <w:r w:rsidRPr="001F1765">
              <w:rPr>
                <w:spacing w:val="-6"/>
                <w:w w:val="105"/>
                <w:sz w:val="20"/>
                <w:szCs w:val="20"/>
              </w:rPr>
              <w:t xml:space="preserve"> </w:t>
            </w:r>
            <w:r w:rsidRPr="001F1765">
              <w:rPr>
                <w:w w:val="105"/>
                <w:sz w:val="20"/>
                <w:szCs w:val="20"/>
              </w:rPr>
              <w:t>000</w:t>
            </w:r>
          </w:p>
        </w:tc>
        <w:tc>
          <w:tcPr>
            <w:tcW w:w="1276" w:type="dxa"/>
            <w:tcBorders>
              <w:top w:val="nil"/>
              <w:left w:val="single" w:sz="4" w:space="0" w:color="000000"/>
              <w:bottom w:val="nil"/>
              <w:right w:val="single" w:sz="4" w:space="0" w:color="000000"/>
            </w:tcBorders>
            <w:tcMar>
              <w:left w:w="68" w:type="dxa"/>
              <w:right w:w="68" w:type="dxa"/>
            </w:tcMar>
            <w:vAlign w:val="center"/>
          </w:tcPr>
          <w:p w14:paraId="09DC3E5F" w14:textId="18A8EB28" w:rsidR="00E70A5B" w:rsidRPr="001F1765" w:rsidRDefault="00E70A5B" w:rsidP="00240137">
            <w:pPr>
              <w:pStyle w:val="REG-P0"/>
              <w:tabs>
                <w:tab w:val="clear" w:pos="567"/>
              </w:tabs>
              <w:jc w:val="right"/>
              <w:rPr>
                <w:sz w:val="20"/>
                <w:szCs w:val="20"/>
              </w:rPr>
            </w:pPr>
            <w:r w:rsidRPr="001F1765">
              <w:rPr>
                <w:w w:val="105"/>
                <w:position w:val="1"/>
                <w:sz w:val="20"/>
                <w:szCs w:val="20"/>
              </w:rPr>
              <w:t>N$</w:t>
            </w:r>
            <w:r w:rsidR="00EF6F57">
              <w:rPr>
                <w:w w:val="105"/>
                <w:position w:val="1"/>
                <w:sz w:val="20"/>
                <w:szCs w:val="20"/>
              </w:rPr>
              <w:t xml:space="preserve"> </w:t>
            </w:r>
            <w:r w:rsidR="00A27753">
              <w:rPr>
                <w:w w:val="105"/>
                <w:position w:val="1"/>
                <w:sz w:val="20"/>
                <w:szCs w:val="20"/>
              </w:rPr>
              <w:t xml:space="preserve">   </w:t>
            </w:r>
            <w:r w:rsidRPr="001F1765">
              <w:rPr>
                <w:w w:val="105"/>
                <w:sz w:val="20"/>
                <w:szCs w:val="20"/>
              </w:rPr>
              <w:t>15</w:t>
            </w:r>
            <w:r w:rsidRPr="001F1765">
              <w:rPr>
                <w:spacing w:val="2"/>
                <w:w w:val="105"/>
                <w:sz w:val="20"/>
                <w:szCs w:val="20"/>
              </w:rPr>
              <w:t xml:space="preserve"> </w:t>
            </w:r>
            <w:r w:rsidRPr="001F1765">
              <w:rPr>
                <w:w w:val="105"/>
                <w:sz w:val="20"/>
                <w:szCs w:val="20"/>
              </w:rPr>
              <w:t>130</w:t>
            </w:r>
          </w:p>
        </w:tc>
        <w:tc>
          <w:tcPr>
            <w:tcW w:w="3402" w:type="dxa"/>
            <w:tcBorders>
              <w:top w:val="nil"/>
              <w:left w:val="single" w:sz="4" w:space="0" w:color="000000"/>
              <w:bottom w:val="nil"/>
            </w:tcBorders>
            <w:tcMar>
              <w:left w:w="68" w:type="dxa"/>
              <w:right w:w="68" w:type="dxa"/>
            </w:tcMar>
            <w:vAlign w:val="center"/>
          </w:tcPr>
          <w:p w14:paraId="61516A72" w14:textId="3C53DBD9" w:rsidR="00E70A5B" w:rsidRPr="001F1765" w:rsidRDefault="00E70A5B" w:rsidP="001C69DA">
            <w:pPr>
              <w:pStyle w:val="REG-P0"/>
              <w:tabs>
                <w:tab w:val="clear" w:pos="567"/>
                <w:tab w:val="left" w:pos="643"/>
                <w:tab w:val="left" w:pos="1080"/>
                <w:tab w:val="left" w:pos="1956"/>
                <w:tab w:val="left" w:pos="2013"/>
                <w:tab w:val="left" w:pos="2053"/>
              </w:tabs>
              <w:rPr>
                <w:sz w:val="20"/>
                <w:szCs w:val="20"/>
              </w:rPr>
            </w:pPr>
            <w:r w:rsidRPr="001F1765">
              <w:rPr>
                <w:sz w:val="20"/>
                <w:szCs w:val="20"/>
              </w:rPr>
              <w:t>5,25%</w:t>
            </w:r>
            <w:r w:rsidR="00483F43">
              <w:rPr>
                <w:sz w:val="20"/>
                <w:szCs w:val="20"/>
              </w:rPr>
              <w:t xml:space="preserve"> </w:t>
            </w:r>
            <w:r w:rsidRPr="001F1765">
              <w:rPr>
                <w:sz w:val="20"/>
                <w:szCs w:val="20"/>
              </w:rPr>
              <w:t>on balance</w:t>
            </w:r>
            <w:r w:rsidRPr="001F1765">
              <w:rPr>
                <w:spacing w:val="29"/>
                <w:sz w:val="20"/>
                <w:szCs w:val="20"/>
              </w:rPr>
              <w:t xml:space="preserve"> </w:t>
            </w:r>
            <w:r w:rsidRPr="001F1765">
              <w:rPr>
                <w:sz w:val="20"/>
                <w:szCs w:val="20"/>
              </w:rPr>
              <w:t>over</w:t>
            </w:r>
            <w:r w:rsidR="007A5BC9">
              <w:rPr>
                <w:sz w:val="20"/>
                <w:szCs w:val="20"/>
              </w:rPr>
              <w:tab/>
            </w:r>
            <w:r w:rsidRPr="001F1765">
              <w:rPr>
                <w:sz w:val="20"/>
                <w:szCs w:val="20"/>
              </w:rPr>
              <w:t>N$</w:t>
            </w:r>
            <w:r w:rsidR="00CC44DB">
              <w:rPr>
                <w:sz w:val="20"/>
                <w:szCs w:val="20"/>
              </w:rPr>
              <w:t> </w:t>
            </w:r>
            <w:r w:rsidR="00A81DD3">
              <w:rPr>
                <w:sz w:val="20"/>
                <w:szCs w:val="20"/>
              </w:rPr>
              <w:t> </w:t>
            </w:r>
            <w:r w:rsidRPr="001F1765">
              <w:rPr>
                <w:sz w:val="20"/>
                <w:szCs w:val="20"/>
              </w:rPr>
              <w:t>250</w:t>
            </w:r>
            <w:r w:rsidRPr="001F1765">
              <w:rPr>
                <w:spacing w:val="33"/>
                <w:sz w:val="20"/>
                <w:szCs w:val="20"/>
              </w:rPr>
              <w:t xml:space="preserve"> </w:t>
            </w:r>
            <w:r w:rsidRPr="001F1765">
              <w:rPr>
                <w:sz w:val="20"/>
                <w:szCs w:val="20"/>
              </w:rPr>
              <w:t>000</w:t>
            </w:r>
          </w:p>
        </w:tc>
      </w:tr>
      <w:tr w:rsidR="004C25B5" w14:paraId="29DDBCA3" w14:textId="77777777" w:rsidTr="004D3DCA">
        <w:tc>
          <w:tcPr>
            <w:tcW w:w="422" w:type="dxa"/>
            <w:tcBorders>
              <w:top w:val="nil"/>
              <w:bottom w:val="nil"/>
              <w:right w:val="nil"/>
            </w:tcBorders>
            <w:tcMar>
              <w:right w:w="0" w:type="dxa"/>
            </w:tcMar>
            <w:vAlign w:val="center"/>
          </w:tcPr>
          <w:p w14:paraId="1E2240DF" w14:textId="7BAC5D87" w:rsidR="00E70A5B" w:rsidRPr="001F1765" w:rsidRDefault="00E70A5B" w:rsidP="00C05CAA">
            <w:pPr>
              <w:pStyle w:val="REG-P0"/>
              <w:jc w:val="right"/>
              <w:rPr>
                <w:sz w:val="20"/>
                <w:szCs w:val="20"/>
              </w:rPr>
            </w:pPr>
            <w:r w:rsidRPr="001F1765">
              <w:rPr>
                <w:sz w:val="20"/>
                <w:szCs w:val="20"/>
              </w:rPr>
              <w:t>N$</w:t>
            </w:r>
          </w:p>
        </w:tc>
        <w:tc>
          <w:tcPr>
            <w:tcW w:w="1032" w:type="dxa"/>
            <w:tcBorders>
              <w:top w:val="nil"/>
              <w:left w:val="nil"/>
              <w:bottom w:val="nil"/>
              <w:right w:val="nil"/>
            </w:tcBorders>
            <w:tcMar>
              <w:left w:w="0" w:type="dxa"/>
              <w:right w:w="0" w:type="dxa"/>
            </w:tcMar>
            <w:vAlign w:val="center"/>
          </w:tcPr>
          <w:p w14:paraId="054D465C" w14:textId="7D27A299" w:rsidR="00E70A5B" w:rsidRPr="001F1765" w:rsidRDefault="00E70A5B" w:rsidP="003B78FD">
            <w:pPr>
              <w:pStyle w:val="REG-P0"/>
              <w:jc w:val="right"/>
              <w:rPr>
                <w:sz w:val="20"/>
                <w:szCs w:val="20"/>
              </w:rPr>
            </w:pPr>
            <w:r w:rsidRPr="001F1765">
              <w:rPr>
                <w:sz w:val="20"/>
                <w:szCs w:val="20"/>
              </w:rPr>
              <w:t>500 000</w:t>
            </w:r>
          </w:p>
        </w:tc>
        <w:tc>
          <w:tcPr>
            <w:tcW w:w="169" w:type="dxa"/>
            <w:gridSpan w:val="2"/>
            <w:tcBorders>
              <w:top w:val="nil"/>
              <w:left w:val="nil"/>
              <w:bottom w:val="nil"/>
              <w:right w:val="nil"/>
            </w:tcBorders>
            <w:tcMar>
              <w:left w:w="0" w:type="dxa"/>
              <w:right w:w="0" w:type="dxa"/>
            </w:tcMar>
            <w:vAlign w:val="center"/>
          </w:tcPr>
          <w:p w14:paraId="1E17D0FD" w14:textId="0ECF0663" w:rsidR="00E70A5B" w:rsidRPr="001F1765" w:rsidRDefault="00E70A5B" w:rsidP="00C05CAA">
            <w:pPr>
              <w:pStyle w:val="REG-P0"/>
              <w:jc w:val="right"/>
              <w:rPr>
                <w:w w:val="105"/>
                <w:sz w:val="20"/>
                <w:szCs w:val="20"/>
              </w:rPr>
            </w:pPr>
            <w:r>
              <w:rPr>
                <w:w w:val="105"/>
                <w:sz w:val="20"/>
                <w:szCs w:val="20"/>
              </w:rPr>
              <w:t>-</w:t>
            </w:r>
          </w:p>
        </w:tc>
        <w:tc>
          <w:tcPr>
            <w:tcW w:w="337" w:type="dxa"/>
            <w:gridSpan w:val="2"/>
            <w:tcBorders>
              <w:top w:val="nil"/>
              <w:left w:val="nil"/>
              <w:bottom w:val="nil"/>
              <w:right w:val="nil"/>
            </w:tcBorders>
            <w:tcMar>
              <w:left w:w="0" w:type="dxa"/>
              <w:right w:w="0" w:type="dxa"/>
            </w:tcMar>
            <w:vAlign w:val="center"/>
          </w:tcPr>
          <w:p w14:paraId="266FFFF2" w14:textId="24FF8770" w:rsidR="00E70A5B" w:rsidRPr="001F1765" w:rsidRDefault="00E70A5B" w:rsidP="00C05CAA">
            <w:pPr>
              <w:pStyle w:val="REG-P0"/>
              <w:jc w:val="right"/>
              <w:rPr>
                <w:w w:val="105"/>
                <w:sz w:val="20"/>
                <w:szCs w:val="20"/>
              </w:rPr>
            </w:pPr>
            <w:r w:rsidRPr="001F1765">
              <w:rPr>
                <w:sz w:val="20"/>
                <w:szCs w:val="20"/>
              </w:rPr>
              <w:t>N$</w:t>
            </w:r>
          </w:p>
        </w:tc>
        <w:tc>
          <w:tcPr>
            <w:tcW w:w="1159" w:type="dxa"/>
            <w:gridSpan w:val="2"/>
            <w:tcBorders>
              <w:top w:val="nil"/>
              <w:left w:val="nil"/>
              <w:bottom w:val="nil"/>
              <w:right w:val="single" w:sz="4" w:space="0" w:color="000000"/>
            </w:tcBorders>
            <w:tcMar>
              <w:right w:w="68" w:type="dxa"/>
            </w:tcMar>
            <w:vAlign w:val="center"/>
          </w:tcPr>
          <w:p w14:paraId="035F810A" w14:textId="1D7D17AA" w:rsidR="00E70A5B" w:rsidRPr="001F1765" w:rsidRDefault="00064E11" w:rsidP="00064E11">
            <w:pPr>
              <w:pStyle w:val="REG-P0"/>
              <w:jc w:val="right"/>
              <w:rPr>
                <w:w w:val="105"/>
                <w:sz w:val="20"/>
                <w:szCs w:val="20"/>
              </w:rPr>
            </w:pPr>
            <w:r w:rsidRPr="001F1765">
              <w:rPr>
                <w:sz w:val="20"/>
                <w:szCs w:val="20"/>
              </w:rPr>
              <w:t>1 000</w:t>
            </w:r>
            <w:r w:rsidRPr="001F1765">
              <w:rPr>
                <w:spacing w:val="-33"/>
                <w:sz w:val="20"/>
                <w:szCs w:val="20"/>
              </w:rPr>
              <w:t xml:space="preserve"> </w:t>
            </w:r>
            <w:r w:rsidRPr="001F1765">
              <w:rPr>
                <w:sz w:val="20"/>
                <w:szCs w:val="20"/>
              </w:rPr>
              <w:t>000</w:t>
            </w:r>
          </w:p>
        </w:tc>
        <w:tc>
          <w:tcPr>
            <w:tcW w:w="1276" w:type="dxa"/>
            <w:tcBorders>
              <w:top w:val="nil"/>
              <w:left w:val="single" w:sz="4" w:space="0" w:color="000000"/>
              <w:bottom w:val="nil"/>
              <w:right w:val="single" w:sz="4" w:space="0" w:color="000000"/>
            </w:tcBorders>
            <w:tcMar>
              <w:left w:w="68" w:type="dxa"/>
              <w:right w:w="68" w:type="dxa"/>
            </w:tcMar>
            <w:vAlign w:val="center"/>
          </w:tcPr>
          <w:p w14:paraId="0090F252" w14:textId="4D6642BF" w:rsidR="00E70A5B" w:rsidRPr="001F1765" w:rsidRDefault="00E70A5B" w:rsidP="00240137">
            <w:pPr>
              <w:pStyle w:val="REG-P0"/>
              <w:tabs>
                <w:tab w:val="clear" w:pos="567"/>
              </w:tabs>
              <w:jc w:val="right"/>
              <w:rPr>
                <w:sz w:val="20"/>
                <w:szCs w:val="20"/>
              </w:rPr>
            </w:pPr>
            <w:r w:rsidRPr="001F1765">
              <w:rPr>
                <w:w w:val="105"/>
                <w:sz w:val="20"/>
                <w:szCs w:val="20"/>
              </w:rPr>
              <w:t>N$</w:t>
            </w:r>
            <w:r w:rsidR="00EF6F57">
              <w:rPr>
                <w:w w:val="105"/>
                <w:sz w:val="20"/>
                <w:szCs w:val="20"/>
              </w:rPr>
              <w:t xml:space="preserve"> </w:t>
            </w:r>
            <w:r w:rsidR="00A27753">
              <w:rPr>
                <w:w w:val="105"/>
                <w:sz w:val="20"/>
                <w:szCs w:val="20"/>
              </w:rPr>
              <w:t xml:space="preserve">   </w:t>
            </w:r>
            <w:r w:rsidRPr="001F1765">
              <w:rPr>
                <w:w w:val="105"/>
                <w:sz w:val="20"/>
                <w:szCs w:val="20"/>
              </w:rPr>
              <w:t>28</w:t>
            </w:r>
            <w:r w:rsidRPr="001F1765">
              <w:rPr>
                <w:spacing w:val="-3"/>
                <w:w w:val="105"/>
                <w:sz w:val="20"/>
                <w:szCs w:val="20"/>
              </w:rPr>
              <w:t xml:space="preserve"> </w:t>
            </w:r>
            <w:r w:rsidRPr="001F1765">
              <w:rPr>
                <w:w w:val="105"/>
                <w:sz w:val="20"/>
                <w:szCs w:val="20"/>
              </w:rPr>
              <w:t>255</w:t>
            </w:r>
          </w:p>
        </w:tc>
        <w:tc>
          <w:tcPr>
            <w:tcW w:w="3402" w:type="dxa"/>
            <w:tcBorders>
              <w:top w:val="nil"/>
              <w:left w:val="single" w:sz="4" w:space="0" w:color="000000"/>
              <w:bottom w:val="nil"/>
            </w:tcBorders>
            <w:tcMar>
              <w:left w:w="68" w:type="dxa"/>
              <w:right w:w="68" w:type="dxa"/>
            </w:tcMar>
            <w:vAlign w:val="center"/>
          </w:tcPr>
          <w:p w14:paraId="53ACDE6C" w14:textId="01ACA7C9" w:rsidR="00E70A5B" w:rsidRPr="001F1765" w:rsidRDefault="00E70A5B" w:rsidP="001C69DA">
            <w:pPr>
              <w:pStyle w:val="REG-P0"/>
              <w:tabs>
                <w:tab w:val="left" w:pos="1080"/>
                <w:tab w:val="left" w:pos="1956"/>
                <w:tab w:val="left" w:pos="2013"/>
                <w:tab w:val="left" w:pos="2053"/>
              </w:tabs>
              <w:rPr>
                <w:sz w:val="20"/>
                <w:szCs w:val="20"/>
              </w:rPr>
            </w:pPr>
            <w:r w:rsidRPr="001F1765">
              <w:rPr>
                <w:w w:val="105"/>
                <w:sz w:val="20"/>
                <w:szCs w:val="20"/>
              </w:rPr>
              <w:t>5,00%</w:t>
            </w:r>
            <w:r w:rsidR="004C25B5">
              <w:rPr>
                <w:w w:val="105"/>
                <w:sz w:val="20"/>
                <w:szCs w:val="20"/>
              </w:rPr>
              <w:tab/>
            </w:r>
            <w:r w:rsidRPr="001F1765">
              <w:rPr>
                <w:w w:val="105"/>
                <w:sz w:val="20"/>
                <w:szCs w:val="20"/>
              </w:rPr>
              <w:t>on balance</w:t>
            </w:r>
            <w:r w:rsidRPr="001F1765">
              <w:rPr>
                <w:spacing w:val="-16"/>
                <w:w w:val="105"/>
                <w:sz w:val="20"/>
                <w:szCs w:val="20"/>
              </w:rPr>
              <w:t xml:space="preserve"> </w:t>
            </w:r>
            <w:r w:rsidRPr="001F1765">
              <w:rPr>
                <w:w w:val="105"/>
                <w:sz w:val="20"/>
                <w:szCs w:val="20"/>
              </w:rPr>
              <w:t>over</w:t>
            </w:r>
            <w:r w:rsidR="007A5BC9">
              <w:rPr>
                <w:w w:val="105"/>
                <w:sz w:val="20"/>
                <w:szCs w:val="20"/>
              </w:rPr>
              <w:tab/>
            </w:r>
            <w:r w:rsidRPr="001F1765">
              <w:rPr>
                <w:w w:val="105"/>
                <w:sz w:val="20"/>
                <w:szCs w:val="20"/>
              </w:rPr>
              <w:t>N$</w:t>
            </w:r>
            <w:r w:rsidR="00CC44DB">
              <w:rPr>
                <w:sz w:val="20"/>
                <w:szCs w:val="20"/>
              </w:rPr>
              <w:t> </w:t>
            </w:r>
            <w:r w:rsidR="00A81DD3">
              <w:rPr>
                <w:sz w:val="20"/>
                <w:szCs w:val="20"/>
              </w:rPr>
              <w:t> </w:t>
            </w:r>
            <w:r w:rsidRPr="001F1765">
              <w:rPr>
                <w:w w:val="105"/>
                <w:sz w:val="20"/>
                <w:szCs w:val="20"/>
              </w:rPr>
              <w:t>500</w:t>
            </w:r>
            <w:r w:rsidRPr="001F1765">
              <w:rPr>
                <w:spacing w:val="6"/>
                <w:w w:val="105"/>
                <w:sz w:val="20"/>
                <w:szCs w:val="20"/>
              </w:rPr>
              <w:t xml:space="preserve"> </w:t>
            </w:r>
            <w:r w:rsidRPr="001F1765">
              <w:rPr>
                <w:w w:val="105"/>
                <w:sz w:val="20"/>
                <w:szCs w:val="20"/>
              </w:rPr>
              <w:t>000</w:t>
            </w:r>
          </w:p>
        </w:tc>
      </w:tr>
      <w:tr w:rsidR="004C25B5" w14:paraId="5BF51705" w14:textId="77777777" w:rsidTr="004D3DCA">
        <w:tc>
          <w:tcPr>
            <w:tcW w:w="422" w:type="dxa"/>
            <w:tcBorders>
              <w:top w:val="nil"/>
              <w:bottom w:val="nil"/>
              <w:right w:val="nil"/>
            </w:tcBorders>
            <w:tcMar>
              <w:right w:w="0" w:type="dxa"/>
            </w:tcMar>
            <w:vAlign w:val="center"/>
          </w:tcPr>
          <w:p w14:paraId="0BC8510A" w14:textId="135ADADC" w:rsidR="00E70A5B" w:rsidRPr="001F1765" w:rsidRDefault="00E70A5B" w:rsidP="00C05CAA">
            <w:pPr>
              <w:pStyle w:val="REG-P0"/>
              <w:jc w:val="right"/>
              <w:rPr>
                <w:sz w:val="20"/>
                <w:szCs w:val="20"/>
              </w:rPr>
            </w:pPr>
            <w:r w:rsidRPr="001F1765">
              <w:rPr>
                <w:w w:val="110"/>
                <w:sz w:val="20"/>
                <w:szCs w:val="20"/>
              </w:rPr>
              <w:t xml:space="preserve">N$ </w:t>
            </w:r>
          </w:p>
        </w:tc>
        <w:tc>
          <w:tcPr>
            <w:tcW w:w="1032" w:type="dxa"/>
            <w:tcBorders>
              <w:top w:val="nil"/>
              <w:left w:val="nil"/>
              <w:bottom w:val="nil"/>
              <w:right w:val="nil"/>
            </w:tcBorders>
            <w:tcMar>
              <w:left w:w="0" w:type="dxa"/>
              <w:right w:w="0" w:type="dxa"/>
            </w:tcMar>
            <w:vAlign w:val="center"/>
          </w:tcPr>
          <w:p w14:paraId="3A9A91A2" w14:textId="1F8AD3E2" w:rsidR="00E70A5B" w:rsidRPr="001F1765" w:rsidRDefault="00E70A5B" w:rsidP="003B78FD">
            <w:pPr>
              <w:pStyle w:val="REG-P0"/>
              <w:jc w:val="right"/>
              <w:rPr>
                <w:sz w:val="20"/>
                <w:szCs w:val="20"/>
              </w:rPr>
            </w:pPr>
            <w:r w:rsidRPr="001F1765">
              <w:rPr>
                <w:w w:val="110"/>
                <w:sz w:val="20"/>
                <w:szCs w:val="20"/>
              </w:rPr>
              <w:t>1</w:t>
            </w:r>
            <w:r>
              <w:rPr>
                <w:w w:val="110"/>
                <w:sz w:val="20"/>
                <w:szCs w:val="20"/>
              </w:rPr>
              <w:t xml:space="preserve"> </w:t>
            </w:r>
            <w:r w:rsidRPr="001F1765">
              <w:rPr>
                <w:w w:val="110"/>
                <w:sz w:val="20"/>
                <w:szCs w:val="20"/>
              </w:rPr>
              <w:t>000</w:t>
            </w:r>
            <w:r>
              <w:rPr>
                <w:w w:val="110"/>
                <w:sz w:val="20"/>
                <w:szCs w:val="20"/>
              </w:rPr>
              <w:t xml:space="preserve"> </w:t>
            </w:r>
            <w:r w:rsidRPr="001F1765">
              <w:rPr>
                <w:w w:val="110"/>
                <w:sz w:val="20"/>
                <w:szCs w:val="20"/>
              </w:rPr>
              <w:t>000</w:t>
            </w:r>
          </w:p>
        </w:tc>
        <w:tc>
          <w:tcPr>
            <w:tcW w:w="169" w:type="dxa"/>
            <w:gridSpan w:val="2"/>
            <w:tcBorders>
              <w:top w:val="nil"/>
              <w:left w:val="nil"/>
              <w:bottom w:val="nil"/>
              <w:right w:val="nil"/>
            </w:tcBorders>
            <w:tcMar>
              <w:left w:w="0" w:type="dxa"/>
              <w:right w:w="0" w:type="dxa"/>
            </w:tcMar>
            <w:vAlign w:val="center"/>
          </w:tcPr>
          <w:p w14:paraId="78DE6B94" w14:textId="3734C8D3" w:rsidR="00E70A5B" w:rsidRPr="001F1765" w:rsidRDefault="00E70A5B" w:rsidP="00C05CAA">
            <w:pPr>
              <w:pStyle w:val="REG-P0"/>
              <w:jc w:val="right"/>
              <w:rPr>
                <w:w w:val="105"/>
                <w:position w:val="1"/>
                <w:sz w:val="20"/>
                <w:szCs w:val="20"/>
              </w:rPr>
            </w:pPr>
            <w:r>
              <w:rPr>
                <w:w w:val="105"/>
                <w:position w:val="1"/>
                <w:sz w:val="20"/>
                <w:szCs w:val="20"/>
              </w:rPr>
              <w:t>-</w:t>
            </w:r>
          </w:p>
        </w:tc>
        <w:tc>
          <w:tcPr>
            <w:tcW w:w="337" w:type="dxa"/>
            <w:gridSpan w:val="2"/>
            <w:tcBorders>
              <w:top w:val="nil"/>
              <w:left w:val="nil"/>
              <w:bottom w:val="nil"/>
              <w:right w:val="nil"/>
            </w:tcBorders>
            <w:tcMar>
              <w:left w:w="0" w:type="dxa"/>
              <w:right w:w="0" w:type="dxa"/>
            </w:tcMar>
            <w:vAlign w:val="center"/>
          </w:tcPr>
          <w:p w14:paraId="5629F16A" w14:textId="79FBA548" w:rsidR="00E70A5B" w:rsidRPr="001F1765" w:rsidRDefault="00E70A5B" w:rsidP="00C05CAA">
            <w:pPr>
              <w:pStyle w:val="REG-P0"/>
              <w:jc w:val="right"/>
              <w:rPr>
                <w:w w:val="105"/>
                <w:position w:val="1"/>
                <w:sz w:val="20"/>
                <w:szCs w:val="20"/>
              </w:rPr>
            </w:pPr>
            <w:r w:rsidRPr="001F1765">
              <w:rPr>
                <w:w w:val="110"/>
                <w:sz w:val="20"/>
                <w:szCs w:val="20"/>
              </w:rPr>
              <w:t>N$</w:t>
            </w:r>
          </w:p>
        </w:tc>
        <w:tc>
          <w:tcPr>
            <w:tcW w:w="1159" w:type="dxa"/>
            <w:gridSpan w:val="2"/>
            <w:tcBorders>
              <w:top w:val="nil"/>
              <w:left w:val="nil"/>
              <w:bottom w:val="nil"/>
              <w:right w:val="single" w:sz="4" w:space="0" w:color="000000"/>
            </w:tcBorders>
            <w:tcMar>
              <w:right w:w="68" w:type="dxa"/>
            </w:tcMar>
            <w:vAlign w:val="center"/>
          </w:tcPr>
          <w:p w14:paraId="738322A4" w14:textId="213EE476" w:rsidR="00E70A5B" w:rsidRPr="001F1765" w:rsidRDefault="00064E11" w:rsidP="00064E11">
            <w:pPr>
              <w:pStyle w:val="REG-P0"/>
              <w:jc w:val="right"/>
              <w:rPr>
                <w:w w:val="105"/>
                <w:position w:val="1"/>
                <w:sz w:val="20"/>
                <w:szCs w:val="20"/>
              </w:rPr>
            </w:pPr>
            <w:r w:rsidRPr="001F1765">
              <w:rPr>
                <w:w w:val="110"/>
                <w:sz w:val="20"/>
                <w:szCs w:val="20"/>
              </w:rPr>
              <w:t>2 000 000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56D1B437" w14:textId="5FBFA695" w:rsidR="00E70A5B" w:rsidRPr="001F1765" w:rsidRDefault="00E70A5B" w:rsidP="00240137">
            <w:pPr>
              <w:pStyle w:val="REG-P0"/>
              <w:tabs>
                <w:tab w:val="clear" w:pos="567"/>
              </w:tabs>
              <w:jc w:val="right"/>
              <w:rPr>
                <w:sz w:val="20"/>
                <w:szCs w:val="20"/>
              </w:rPr>
            </w:pPr>
            <w:r w:rsidRPr="001F1765">
              <w:rPr>
                <w:w w:val="105"/>
                <w:position w:val="1"/>
                <w:sz w:val="20"/>
                <w:szCs w:val="20"/>
              </w:rPr>
              <w:t>N$</w:t>
            </w:r>
            <w:r w:rsidR="00EF6F57">
              <w:rPr>
                <w:w w:val="105"/>
                <w:position w:val="1"/>
                <w:sz w:val="20"/>
                <w:szCs w:val="20"/>
              </w:rPr>
              <w:t xml:space="preserve"> </w:t>
            </w:r>
            <w:r w:rsidR="00A27753">
              <w:rPr>
                <w:w w:val="105"/>
                <w:position w:val="1"/>
                <w:sz w:val="20"/>
                <w:szCs w:val="20"/>
              </w:rPr>
              <w:t xml:space="preserve">   </w:t>
            </w:r>
            <w:r w:rsidRPr="001F1765">
              <w:rPr>
                <w:w w:val="105"/>
                <w:sz w:val="20"/>
                <w:szCs w:val="20"/>
              </w:rPr>
              <w:t>53</w:t>
            </w:r>
            <w:r w:rsidRPr="001F1765">
              <w:rPr>
                <w:spacing w:val="-6"/>
                <w:w w:val="105"/>
                <w:sz w:val="20"/>
                <w:szCs w:val="20"/>
              </w:rPr>
              <w:t xml:space="preserve"> </w:t>
            </w:r>
            <w:r w:rsidRPr="001F1765">
              <w:rPr>
                <w:w w:val="105"/>
                <w:sz w:val="20"/>
                <w:szCs w:val="20"/>
              </w:rPr>
              <w:t>255</w:t>
            </w:r>
          </w:p>
        </w:tc>
        <w:tc>
          <w:tcPr>
            <w:tcW w:w="3402" w:type="dxa"/>
            <w:tcBorders>
              <w:top w:val="nil"/>
              <w:left w:val="single" w:sz="4" w:space="0" w:color="000000"/>
              <w:bottom w:val="nil"/>
            </w:tcBorders>
            <w:tcMar>
              <w:left w:w="68" w:type="dxa"/>
              <w:right w:w="68" w:type="dxa"/>
            </w:tcMar>
            <w:vAlign w:val="center"/>
          </w:tcPr>
          <w:p w14:paraId="45FB7CF2" w14:textId="36EC45DB" w:rsidR="00E70A5B" w:rsidRPr="001F1765" w:rsidRDefault="00E70A5B" w:rsidP="001C69DA">
            <w:pPr>
              <w:pStyle w:val="REG-P0"/>
              <w:tabs>
                <w:tab w:val="left" w:pos="1080"/>
                <w:tab w:val="left" w:pos="1956"/>
                <w:tab w:val="left" w:pos="2013"/>
                <w:tab w:val="left" w:pos="2053"/>
              </w:tabs>
              <w:rPr>
                <w:sz w:val="20"/>
                <w:szCs w:val="20"/>
              </w:rPr>
            </w:pPr>
            <w:r w:rsidRPr="001F1765">
              <w:rPr>
                <w:w w:val="105"/>
                <w:sz w:val="20"/>
                <w:szCs w:val="20"/>
              </w:rPr>
              <w:t>4,75%</w:t>
            </w:r>
            <w:r w:rsidR="004C25B5">
              <w:rPr>
                <w:w w:val="105"/>
                <w:sz w:val="20"/>
                <w:szCs w:val="20"/>
              </w:rPr>
              <w:tab/>
            </w:r>
            <w:r w:rsidRPr="001F1765">
              <w:rPr>
                <w:w w:val="105"/>
                <w:sz w:val="20"/>
                <w:szCs w:val="20"/>
              </w:rPr>
              <w:t>on balance over</w:t>
            </w:r>
            <w:r w:rsidR="007A5BC9">
              <w:rPr>
                <w:w w:val="105"/>
                <w:sz w:val="20"/>
                <w:szCs w:val="20"/>
              </w:rPr>
              <w:tab/>
            </w:r>
            <w:r w:rsidRPr="001F1765">
              <w:rPr>
                <w:w w:val="105"/>
                <w:position w:val="1"/>
                <w:sz w:val="20"/>
                <w:szCs w:val="20"/>
              </w:rPr>
              <w:t>N$</w:t>
            </w:r>
            <w:r w:rsidR="00167DEB">
              <w:rPr>
                <w:sz w:val="20"/>
                <w:szCs w:val="20"/>
              </w:rPr>
              <w:t> </w:t>
            </w:r>
            <w:r w:rsidR="00167DEB">
              <w:rPr>
                <w:sz w:val="20"/>
                <w:szCs w:val="20"/>
              </w:rPr>
              <w:t>1</w:t>
            </w:r>
            <w:r w:rsidR="00167DEB" w:rsidRPr="001F1765">
              <w:rPr>
                <w:sz w:val="20"/>
                <w:szCs w:val="20"/>
              </w:rPr>
              <w:t xml:space="preserve"> 000 000</w:t>
            </w:r>
          </w:p>
        </w:tc>
      </w:tr>
      <w:tr w:rsidR="004C25B5" w14:paraId="0ED5BA05" w14:textId="77777777" w:rsidTr="004D3DCA">
        <w:tc>
          <w:tcPr>
            <w:tcW w:w="422" w:type="dxa"/>
            <w:tcBorders>
              <w:top w:val="nil"/>
              <w:bottom w:val="nil"/>
              <w:right w:val="nil"/>
            </w:tcBorders>
            <w:tcMar>
              <w:right w:w="0" w:type="dxa"/>
            </w:tcMar>
            <w:vAlign w:val="center"/>
          </w:tcPr>
          <w:p w14:paraId="796FDF96" w14:textId="111174D8" w:rsidR="00E70A5B" w:rsidRPr="001F1765" w:rsidRDefault="00E70A5B" w:rsidP="00C05CAA">
            <w:pPr>
              <w:pStyle w:val="REG-P0"/>
              <w:jc w:val="right"/>
              <w:rPr>
                <w:sz w:val="20"/>
                <w:szCs w:val="20"/>
              </w:rPr>
            </w:pPr>
            <w:r w:rsidRPr="001F1765">
              <w:rPr>
                <w:w w:val="105"/>
                <w:sz w:val="20"/>
                <w:szCs w:val="20"/>
              </w:rPr>
              <w:t xml:space="preserve">N$ </w:t>
            </w:r>
          </w:p>
        </w:tc>
        <w:tc>
          <w:tcPr>
            <w:tcW w:w="1032" w:type="dxa"/>
            <w:tcBorders>
              <w:top w:val="nil"/>
              <w:left w:val="nil"/>
              <w:bottom w:val="nil"/>
              <w:right w:val="nil"/>
            </w:tcBorders>
            <w:tcMar>
              <w:left w:w="0" w:type="dxa"/>
              <w:right w:w="0" w:type="dxa"/>
            </w:tcMar>
            <w:vAlign w:val="center"/>
          </w:tcPr>
          <w:p w14:paraId="6481031D" w14:textId="65BC411B" w:rsidR="00E70A5B" w:rsidRPr="001F1765" w:rsidRDefault="00E70A5B" w:rsidP="003B78FD">
            <w:pPr>
              <w:pStyle w:val="REG-P0"/>
              <w:jc w:val="right"/>
              <w:rPr>
                <w:sz w:val="20"/>
                <w:szCs w:val="20"/>
              </w:rPr>
            </w:pPr>
            <w:r w:rsidRPr="001F1765">
              <w:rPr>
                <w:w w:val="105"/>
                <w:sz w:val="20"/>
                <w:szCs w:val="20"/>
              </w:rPr>
              <w:t>2 000 000</w:t>
            </w:r>
          </w:p>
        </w:tc>
        <w:tc>
          <w:tcPr>
            <w:tcW w:w="169" w:type="dxa"/>
            <w:gridSpan w:val="2"/>
            <w:tcBorders>
              <w:top w:val="nil"/>
              <w:left w:val="nil"/>
              <w:bottom w:val="nil"/>
              <w:right w:val="nil"/>
            </w:tcBorders>
            <w:tcMar>
              <w:left w:w="0" w:type="dxa"/>
              <w:right w:w="0" w:type="dxa"/>
            </w:tcMar>
            <w:vAlign w:val="center"/>
          </w:tcPr>
          <w:p w14:paraId="2ACD0514" w14:textId="7F091DB7" w:rsidR="00E70A5B" w:rsidRPr="001F1765" w:rsidRDefault="00E70A5B" w:rsidP="00C05CAA">
            <w:pPr>
              <w:pStyle w:val="REG-P0"/>
              <w:jc w:val="right"/>
              <w:rPr>
                <w:w w:val="105"/>
                <w:sz w:val="20"/>
                <w:szCs w:val="20"/>
              </w:rPr>
            </w:pPr>
            <w:r>
              <w:rPr>
                <w:w w:val="105"/>
                <w:sz w:val="20"/>
                <w:szCs w:val="20"/>
              </w:rPr>
              <w:t>-</w:t>
            </w:r>
          </w:p>
        </w:tc>
        <w:tc>
          <w:tcPr>
            <w:tcW w:w="337" w:type="dxa"/>
            <w:gridSpan w:val="2"/>
            <w:tcBorders>
              <w:top w:val="nil"/>
              <w:left w:val="nil"/>
              <w:bottom w:val="nil"/>
              <w:right w:val="nil"/>
            </w:tcBorders>
            <w:tcMar>
              <w:left w:w="0" w:type="dxa"/>
              <w:right w:w="0" w:type="dxa"/>
            </w:tcMar>
            <w:vAlign w:val="center"/>
          </w:tcPr>
          <w:p w14:paraId="409D3376" w14:textId="4600B3F1" w:rsidR="00E70A5B" w:rsidRPr="001F1765" w:rsidRDefault="00E70A5B" w:rsidP="00C05CAA">
            <w:pPr>
              <w:pStyle w:val="REG-P0"/>
              <w:jc w:val="right"/>
              <w:rPr>
                <w:w w:val="105"/>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69FB2E31" w14:textId="672B551B" w:rsidR="00E70A5B" w:rsidRPr="001F1765" w:rsidRDefault="00064E11" w:rsidP="00064E11">
            <w:pPr>
              <w:pStyle w:val="REG-P0"/>
              <w:jc w:val="right"/>
              <w:rPr>
                <w:w w:val="105"/>
                <w:sz w:val="20"/>
                <w:szCs w:val="20"/>
              </w:rPr>
            </w:pPr>
            <w:r w:rsidRPr="001F1765">
              <w:rPr>
                <w:w w:val="105"/>
                <w:sz w:val="20"/>
                <w:szCs w:val="20"/>
              </w:rPr>
              <w:t>4 000 000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446169BE" w14:textId="6B6A1BA6" w:rsidR="00E70A5B" w:rsidRPr="001F1765" w:rsidRDefault="00E70A5B" w:rsidP="00240137">
            <w:pPr>
              <w:pStyle w:val="REG-P0"/>
              <w:tabs>
                <w:tab w:val="clear" w:pos="567"/>
              </w:tabs>
              <w:jc w:val="right"/>
              <w:rPr>
                <w:sz w:val="20"/>
                <w:szCs w:val="20"/>
              </w:rPr>
            </w:pPr>
            <w:r w:rsidRPr="001F1765">
              <w:rPr>
                <w:w w:val="105"/>
                <w:sz w:val="20"/>
                <w:szCs w:val="20"/>
              </w:rPr>
              <w:t xml:space="preserve">N$ </w:t>
            </w:r>
            <w:r w:rsidR="00A27753">
              <w:rPr>
                <w:w w:val="105"/>
                <w:sz w:val="20"/>
                <w:szCs w:val="20"/>
              </w:rPr>
              <w:t xml:space="preserve"> </w:t>
            </w:r>
            <w:r w:rsidRPr="001F1765">
              <w:rPr>
                <w:w w:val="105"/>
                <w:sz w:val="20"/>
                <w:szCs w:val="20"/>
              </w:rPr>
              <w:t>100 755</w:t>
            </w:r>
          </w:p>
        </w:tc>
        <w:tc>
          <w:tcPr>
            <w:tcW w:w="3402" w:type="dxa"/>
            <w:tcBorders>
              <w:top w:val="nil"/>
              <w:left w:val="single" w:sz="4" w:space="0" w:color="000000"/>
              <w:bottom w:val="nil"/>
            </w:tcBorders>
            <w:tcMar>
              <w:left w:w="68" w:type="dxa"/>
              <w:right w:w="68" w:type="dxa"/>
            </w:tcMar>
            <w:vAlign w:val="center"/>
          </w:tcPr>
          <w:p w14:paraId="682281AD" w14:textId="636CE716" w:rsidR="00E70A5B" w:rsidRPr="001F1765" w:rsidRDefault="00E70A5B" w:rsidP="001C69DA">
            <w:pPr>
              <w:pStyle w:val="REG-P0"/>
              <w:tabs>
                <w:tab w:val="left" w:pos="1080"/>
                <w:tab w:val="left" w:pos="1956"/>
                <w:tab w:val="left" w:pos="2013"/>
                <w:tab w:val="left" w:pos="2053"/>
              </w:tabs>
              <w:rPr>
                <w:sz w:val="20"/>
                <w:szCs w:val="20"/>
              </w:rPr>
            </w:pPr>
            <w:r w:rsidRPr="001F1765">
              <w:rPr>
                <w:sz w:val="20"/>
                <w:szCs w:val="20"/>
              </w:rPr>
              <w:t>4,50%</w:t>
            </w:r>
            <w:r w:rsidR="004C25B5">
              <w:rPr>
                <w:sz w:val="20"/>
                <w:szCs w:val="20"/>
              </w:rPr>
              <w:tab/>
            </w:r>
            <w:r w:rsidRPr="001F1765">
              <w:rPr>
                <w:sz w:val="20"/>
                <w:szCs w:val="20"/>
              </w:rPr>
              <w:t>on balance over</w:t>
            </w:r>
            <w:r w:rsidR="007A5BC9">
              <w:rPr>
                <w:sz w:val="20"/>
                <w:szCs w:val="20"/>
              </w:rPr>
              <w:tab/>
            </w:r>
            <w:r w:rsidRPr="001F1765">
              <w:rPr>
                <w:sz w:val="20"/>
                <w:szCs w:val="20"/>
              </w:rPr>
              <w:t>N$</w:t>
            </w:r>
            <w:r w:rsidR="00CC44DB">
              <w:rPr>
                <w:sz w:val="20"/>
                <w:szCs w:val="20"/>
              </w:rPr>
              <w:t> </w:t>
            </w:r>
            <w:r w:rsidRPr="001F1765">
              <w:rPr>
                <w:sz w:val="20"/>
                <w:szCs w:val="20"/>
              </w:rPr>
              <w:t>2 000 000</w:t>
            </w:r>
          </w:p>
        </w:tc>
      </w:tr>
      <w:tr w:rsidR="004C25B5" w14:paraId="36D57559" w14:textId="77777777" w:rsidTr="004D3DCA">
        <w:tc>
          <w:tcPr>
            <w:tcW w:w="422" w:type="dxa"/>
            <w:tcBorders>
              <w:top w:val="nil"/>
              <w:bottom w:val="nil"/>
              <w:right w:val="nil"/>
            </w:tcBorders>
            <w:tcMar>
              <w:right w:w="0" w:type="dxa"/>
            </w:tcMar>
            <w:vAlign w:val="center"/>
          </w:tcPr>
          <w:p w14:paraId="4B5D0172" w14:textId="16E0078B" w:rsidR="00E70A5B" w:rsidRPr="001F1765" w:rsidRDefault="00E70A5B" w:rsidP="00C05CAA">
            <w:pPr>
              <w:pStyle w:val="REG-P0"/>
              <w:jc w:val="right"/>
              <w:rPr>
                <w:sz w:val="20"/>
                <w:szCs w:val="20"/>
              </w:rPr>
            </w:pPr>
            <w:r w:rsidRPr="001F1765">
              <w:rPr>
                <w:w w:val="105"/>
                <w:sz w:val="20"/>
                <w:szCs w:val="20"/>
              </w:rPr>
              <w:t xml:space="preserve">N$ </w:t>
            </w:r>
          </w:p>
        </w:tc>
        <w:tc>
          <w:tcPr>
            <w:tcW w:w="1032" w:type="dxa"/>
            <w:tcBorders>
              <w:top w:val="nil"/>
              <w:left w:val="nil"/>
              <w:bottom w:val="nil"/>
              <w:right w:val="nil"/>
            </w:tcBorders>
            <w:tcMar>
              <w:left w:w="0" w:type="dxa"/>
              <w:right w:w="0" w:type="dxa"/>
            </w:tcMar>
            <w:vAlign w:val="center"/>
          </w:tcPr>
          <w:p w14:paraId="384E0212" w14:textId="2B8E2841" w:rsidR="00E70A5B" w:rsidRPr="001F1765" w:rsidRDefault="00E70A5B" w:rsidP="003B78FD">
            <w:pPr>
              <w:pStyle w:val="REG-P0"/>
              <w:jc w:val="right"/>
              <w:rPr>
                <w:sz w:val="20"/>
                <w:szCs w:val="20"/>
              </w:rPr>
            </w:pPr>
            <w:r w:rsidRPr="001F1765">
              <w:rPr>
                <w:w w:val="105"/>
                <w:sz w:val="20"/>
                <w:szCs w:val="20"/>
              </w:rPr>
              <w:t>4 000 000</w:t>
            </w:r>
          </w:p>
        </w:tc>
        <w:tc>
          <w:tcPr>
            <w:tcW w:w="169" w:type="dxa"/>
            <w:gridSpan w:val="2"/>
            <w:tcBorders>
              <w:top w:val="nil"/>
              <w:left w:val="nil"/>
              <w:bottom w:val="nil"/>
              <w:right w:val="nil"/>
            </w:tcBorders>
            <w:tcMar>
              <w:left w:w="0" w:type="dxa"/>
              <w:right w:w="0" w:type="dxa"/>
            </w:tcMar>
            <w:vAlign w:val="center"/>
          </w:tcPr>
          <w:p w14:paraId="2133F8AC" w14:textId="1BC5F83C" w:rsidR="00E70A5B" w:rsidRPr="001F1765" w:rsidRDefault="00E70A5B" w:rsidP="00C05CAA">
            <w:pPr>
              <w:pStyle w:val="REG-P0"/>
              <w:jc w:val="right"/>
              <w:rPr>
                <w:w w:val="105"/>
                <w:sz w:val="20"/>
                <w:szCs w:val="20"/>
              </w:rPr>
            </w:pPr>
            <w:r>
              <w:rPr>
                <w:w w:val="105"/>
                <w:sz w:val="20"/>
                <w:szCs w:val="20"/>
              </w:rPr>
              <w:t>-</w:t>
            </w:r>
          </w:p>
        </w:tc>
        <w:tc>
          <w:tcPr>
            <w:tcW w:w="337" w:type="dxa"/>
            <w:gridSpan w:val="2"/>
            <w:tcBorders>
              <w:top w:val="nil"/>
              <w:left w:val="nil"/>
              <w:bottom w:val="nil"/>
              <w:right w:val="nil"/>
            </w:tcBorders>
            <w:tcMar>
              <w:left w:w="0" w:type="dxa"/>
              <w:right w:w="0" w:type="dxa"/>
            </w:tcMar>
            <w:vAlign w:val="center"/>
          </w:tcPr>
          <w:p w14:paraId="3D15E661" w14:textId="2403F6E6" w:rsidR="00E70A5B" w:rsidRPr="001F1765" w:rsidRDefault="00E70A5B" w:rsidP="00C05CAA">
            <w:pPr>
              <w:pStyle w:val="REG-P0"/>
              <w:jc w:val="right"/>
              <w:rPr>
                <w:w w:val="105"/>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6C0D97CE" w14:textId="05284DB7" w:rsidR="00E70A5B" w:rsidRPr="001F1765" w:rsidRDefault="00064E11" w:rsidP="00064E11">
            <w:pPr>
              <w:pStyle w:val="REG-P0"/>
              <w:jc w:val="right"/>
              <w:rPr>
                <w:w w:val="105"/>
                <w:sz w:val="20"/>
                <w:szCs w:val="20"/>
              </w:rPr>
            </w:pPr>
            <w:r w:rsidRPr="001F1765">
              <w:rPr>
                <w:w w:val="105"/>
                <w:sz w:val="20"/>
                <w:szCs w:val="20"/>
              </w:rPr>
              <w:t>8 000 000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23B2457B" w14:textId="51CAC811" w:rsidR="00E70A5B" w:rsidRPr="001F1765" w:rsidRDefault="00E70A5B" w:rsidP="00240137">
            <w:pPr>
              <w:pStyle w:val="REG-P0"/>
              <w:tabs>
                <w:tab w:val="clear" w:pos="567"/>
              </w:tabs>
              <w:jc w:val="right"/>
              <w:rPr>
                <w:sz w:val="20"/>
                <w:szCs w:val="20"/>
              </w:rPr>
            </w:pPr>
            <w:r w:rsidRPr="001F1765">
              <w:rPr>
                <w:w w:val="105"/>
                <w:sz w:val="20"/>
                <w:szCs w:val="20"/>
              </w:rPr>
              <w:t xml:space="preserve">N$ </w:t>
            </w:r>
            <w:r w:rsidR="00A27753">
              <w:rPr>
                <w:w w:val="105"/>
                <w:sz w:val="20"/>
                <w:szCs w:val="20"/>
              </w:rPr>
              <w:t xml:space="preserve"> </w:t>
            </w:r>
            <w:r w:rsidRPr="001F1765">
              <w:rPr>
                <w:w w:val="105"/>
                <w:sz w:val="20"/>
                <w:szCs w:val="20"/>
              </w:rPr>
              <w:t>190 755</w:t>
            </w:r>
          </w:p>
        </w:tc>
        <w:tc>
          <w:tcPr>
            <w:tcW w:w="3402" w:type="dxa"/>
            <w:tcBorders>
              <w:top w:val="nil"/>
              <w:left w:val="single" w:sz="4" w:space="0" w:color="000000"/>
              <w:bottom w:val="nil"/>
            </w:tcBorders>
            <w:tcMar>
              <w:left w:w="68" w:type="dxa"/>
              <w:right w:w="68" w:type="dxa"/>
            </w:tcMar>
            <w:vAlign w:val="center"/>
          </w:tcPr>
          <w:p w14:paraId="09204A77" w14:textId="46009C25" w:rsidR="00E70A5B" w:rsidRPr="001F1765" w:rsidRDefault="00E70A5B" w:rsidP="001C69DA">
            <w:pPr>
              <w:pStyle w:val="REG-P0"/>
              <w:tabs>
                <w:tab w:val="left" w:pos="1080"/>
                <w:tab w:val="left" w:pos="1956"/>
                <w:tab w:val="left" w:pos="2013"/>
                <w:tab w:val="left" w:pos="2053"/>
              </w:tabs>
              <w:rPr>
                <w:sz w:val="20"/>
                <w:szCs w:val="20"/>
              </w:rPr>
            </w:pPr>
            <w:r w:rsidRPr="001F1765">
              <w:rPr>
                <w:w w:val="105"/>
                <w:sz w:val="20"/>
                <w:szCs w:val="20"/>
              </w:rPr>
              <w:t>4,00%</w:t>
            </w:r>
            <w:r w:rsidR="004C25B5">
              <w:rPr>
                <w:w w:val="105"/>
                <w:sz w:val="20"/>
                <w:szCs w:val="20"/>
              </w:rPr>
              <w:tab/>
            </w:r>
            <w:r w:rsidRPr="001F1765">
              <w:rPr>
                <w:w w:val="105"/>
                <w:sz w:val="20"/>
                <w:szCs w:val="20"/>
              </w:rPr>
              <w:t>on balance over</w:t>
            </w:r>
            <w:r w:rsidR="007A5BC9">
              <w:rPr>
                <w:w w:val="105"/>
                <w:sz w:val="20"/>
                <w:szCs w:val="20"/>
              </w:rPr>
              <w:tab/>
            </w:r>
            <w:r w:rsidRPr="001F1765">
              <w:rPr>
                <w:w w:val="105"/>
                <w:sz w:val="20"/>
                <w:szCs w:val="20"/>
              </w:rPr>
              <w:t>N$</w:t>
            </w:r>
            <w:r w:rsidR="007F17B5">
              <w:rPr>
                <w:sz w:val="20"/>
                <w:szCs w:val="20"/>
              </w:rPr>
              <w:t> </w:t>
            </w:r>
            <w:r w:rsidR="007F17B5">
              <w:rPr>
                <w:sz w:val="20"/>
                <w:szCs w:val="20"/>
              </w:rPr>
              <w:t>4</w:t>
            </w:r>
            <w:r w:rsidR="007F17B5" w:rsidRPr="001F1765">
              <w:rPr>
                <w:sz w:val="20"/>
                <w:szCs w:val="20"/>
              </w:rPr>
              <w:t xml:space="preserve"> 000 000</w:t>
            </w:r>
          </w:p>
        </w:tc>
      </w:tr>
      <w:tr w:rsidR="004C25B5" w14:paraId="18D6B5DE" w14:textId="77777777" w:rsidTr="004D3DCA">
        <w:tc>
          <w:tcPr>
            <w:tcW w:w="422" w:type="dxa"/>
            <w:tcBorders>
              <w:top w:val="nil"/>
              <w:bottom w:val="nil"/>
              <w:right w:val="nil"/>
            </w:tcBorders>
            <w:tcMar>
              <w:right w:w="0" w:type="dxa"/>
            </w:tcMar>
            <w:vAlign w:val="center"/>
          </w:tcPr>
          <w:p w14:paraId="7D029614" w14:textId="26AA1C0D" w:rsidR="00E70A5B" w:rsidRPr="001F1765" w:rsidRDefault="00E70A5B" w:rsidP="00C05CAA">
            <w:pPr>
              <w:pStyle w:val="REG-P0"/>
              <w:jc w:val="right"/>
              <w:rPr>
                <w:sz w:val="20"/>
                <w:szCs w:val="20"/>
              </w:rPr>
            </w:pPr>
            <w:r w:rsidRPr="001F1765">
              <w:rPr>
                <w:w w:val="105"/>
                <w:sz w:val="20"/>
                <w:szCs w:val="20"/>
              </w:rPr>
              <w:t xml:space="preserve">N$ </w:t>
            </w:r>
          </w:p>
        </w:tc>
        <w:tc>
          <w:tcPr>
            <w:tcW w:w="1032" w:type="dxa"/>
            <w:tcBorders>
              <w:top w:val="nil"/>
              <w:left w:val="nil"/>
              <w:bottom w:val="nil"/>
              <w:right w:val="nil"/>
            </w:tcBorders>
            <w:tcMar>
              <w:left w:w="0" w:type="dxa"/>
              <w:right w:w="0" w:type="dxa"/>
            </w:tcMar>
            <w:vAlign w:val="center"/>
          </w:tcPr>
          <w:p w14:paraId="3603A110" w14:textId="6702E7C7" w:rsidR="00E70A5B" w:rsidRPr="001F1765" w:rsidRDefault="00E70A5B" w:rsidP="003B78FD">
            <w:pPr>
              <w:pStyle w:val="REG-P0"/>
              <w:jc w:val="right"/>
              <w:rPr>
                <w:sz w:val="20"/>
                <w:szCs w:val="20"/>
              </w:rPr>
            </w:pPr>
            <w:r w:rsidRPr="001F1765">
              <w:rPr>
                <w:w w:val="105"/>
                <w:sz w:val="20"/>
                <w:szCs w:val="20"/>
              </w:rPr>
              <w:t>8 000 000</w:t>
            </w:r>
          </w:p>
        </w:tc>
        <w:tc>
          <w:tcPr>
            <w:tcW w:w="169" w:type="dxa"/>
            <w:gridSpan w:val="2"/>
            <w:tcBorders>
              <w:top w:val="nil"/>
              <w:left w:val="nil"/>
              <w:bottom w:val="nil"/>
              <w:right w:val="nil"/>
            </w:tcBorders>
            <w:tcMar>
              <w:left w:w="0" w:type="dxa"/>
              <w:right w:w="0" w:type="dxa"/>
            </w:tcMar>
            <w:vAlign w:val="center"/>
          </w:tcPr>
          <w:p w14:paraId="18A396D5" w14:textId="14D0C7ED" w:rsidR="00E70A5B" w:rsidRPr="001F1765" w:rsidRDefault="00E70A5B" w:rsidP="00C05CAA">
            <w:pPr>
              <w:pStyle w:val="REG-P0"/>
              <w:jc w:val="right"/>
              <w:rPr>
                <w:w w:val="105"/>
                <w:sz w:val="20"/>
                <w:szCs w:val="20"/>
              </w:rPr>
            </w:pPr>
            <w:r>
              <w:rPr>
                <w:w w:val="105"/>
                <w:sz w:val="20"/>
                <w:szCs w:val="20"/>
              </w:rPr>
              <w:t>-</w:t>
            </w:r>
          </w:p>
        </w:tc>
        <w:tc>
          <w:tcPr>
            <w:tcW w:w="337" w:type="dxa"/>
            <w:gridSpan w:val="2"/>
            <w:tcBorders>
              <w:top w:val="nil"/>
              <w:left w:val="nil"/>
              <w:bottom w:val="nil"/>
              <w:right w:val="nil"/>
            </w:tcBorders>
            <w:tcMar>
              <w:left w:w="0" w:type="dxa"/>
              <w:right w:w="0" w:type="dxa"/>
            </w:tcMar>
            <w:vAlign w:val="center"/>
          </w:tcPr>
          <w:p w14:paraId="6646A2F8" w14:textId="4723A0EF" w:rsidR="00E70A5B" w:rsidRPr="001F1765" w:rsidRDefault="00E70A5B" w:rsidP="00C05CAA">
            <w:pPr>
              <w:pStyle w:val="REG-P0"/>
              <w:jc w:val="right"/>
              <w:rPr>
                <w:w w:val="105"/>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03701848" w14:textId="5AEE5D5C" w:rsidR="00E70A5B" w:rsidRPr="001F1765" w:rsidRDefault="00064E11" w:rsidP="00064E11">
            <w:pPr>
              <w:pStyle w:val="REG-P0"/>
              <w:jc w:val="right"/>
              <w:rPr>
                <w:w w:val="105"/>
                <w:sz w:val="20"/>
                <w:szCs w:val="20"/>
              </w:rPr>
            </w:pPr>
            <w:r w:rsidRPr="001F1765">
              <w:rPr>
                <w:w w:val="105"/>
                <w:sz w:val="20"/>
                <w:szCs w:val="20"/>
              </w:rPr>
              <w:t>16 000 000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4446B276" w14:textId="229F3BED" w:rsidR="00E70A5B" w:rsidRPr="001F1765" w:rsidRDefault="00E70A5B" w:rsidP="00240137">
            <w:pPr>
              <w:pStyle w:val="REG-P0"/>
              <w:tabs>
                <w:tab w:val="clear" w:pos="567"/>
              </w:tabs>
              <w:jc w:val="right"/>
              <w:rPr>
                <w:sz w:val="20"/>
                <w:szCs w:val="20"/>
              </w:rPr>
            </w:pPr>
            <w:r w:rsidRPr="001F1765">
              <w:rPr>
                <w:w w:val="105"/>
                <w:sz w:val="20"/>
                <w:szCs w:val="20"/>
              </w:rPr>
              <w:t xml:space="preserve">N$ </w:t>
            </w:r>
            <w:r w:rsidR="00A27753">
              <w:rPr>
                <w:w w:val="105"/>
                <w:sz w:val="20"/>
                <w:szCs w:val="20"/>
              </w:rPr>
              <w:t xml:space="preserve"> </w:t>
            </w:r>
            <w:r w:rsidRPr="001F1765">
              <w:rPr>
                <w:w w:val="105"/>
                <w:sz w:val="20"/>
                <w:szCs w:val="20"/>
              </w:rPr>
              <w:t>350 755</w:t>
            </w:r>
          </w:p>
        </w:tc>
        <w:tc>
          <w:tcPr>
            <w:tcW w:w="3402" w:type="dxa"/>
            <w:tcBorders>
              <w:top w:val="nil"/>
              <w:left w:val="single" w:sz="4" w:space="0" w:color="000000"/>
              <w:bottom w:val="nil"/>
            </w:tcBorders>
            <w:tcMar>
              <w:left w:w="68" w:type="dxa"/>
              <w:right w:w="68" w:type="dxa"/>
            </w:tcMar>
            <w:vAlign w:val="center"/>
          </w:tcPr>
          <w:p w14:paraId="673935ED" w14:textId="1E49D476" w:rsidR="00E70A5B" w:rsidRPr="001F1765" w:rsidRDefault="00E70A5B" w:rsidP="001C69DA">
            <w:pPr>
              <w:pStyle w:val="REG-P0"/>
              <w:tabs>
                <w:tab w:val="left" w:pos="1080"/>
                <w:tab w:val="left" w:pos="1956"/>
                <w:tab w:val="left" w:pos="2013"/>
                <w:tab w:val="left" w:pos="2053"/>
              </w:tabs>
              <w:rPr>
                <w:sz w:val="20"/>
                <w:szCs w:val="20"/>
              </w:rPr>
            </w:pPr>
            <w:r w:rsidRPr="001F1765">
              <w:rPr>
                <w:sz w:val="20"/>
                <w:szCs w:val="20"/>
              </w:rPr>
              <w:t>3,60%</w:t>
            </w:r>
            <w:r w:rsidR="004C25B5">
              <w:rPr>
                <w:sz w:val="20"/>
                <w:szCs w:val="20"/>
              </w:rPr>
              <w:tab/>
            </w:r>
            <w:r w:rsidRPr="001F1765">
              <w:rPr>
                <w:sz w:val="20"/>
                <w:szCs w:val="20"/>
              </w:rPr>
              <w:t>on balance over</w:t>
            </w:r>
            <w:r w:rsidR="007A5BC9">
              <w:rPr>
                <w:sz w:val="20"/>
                <w:szCs w:val="20"/>
              </w:rPr>
              <w:tab/>
            </w:r>
            <w:r w:rsidRPr="001F1765">
              <w:rPr>
                <w:sz w:val="20"/>
                <w:szCs w:val="20"/>
              </w:rPr>
              <w:t>N$</w:t>
            </w:r>
            <w:r w:rsidR="00CC44DB">
              <w:rPr>
                <w:sz w:val="20"/>
                <w:szCs w:val="20"/>
              </w:rPr>
              <w:t> </w:t>
            </w:r>
            <w:r w:rsidRPr="001F1765">
              <w:rPr>
                <w:sz w:val="20"/>
                <w:szCs w:val="20"/>
              </w:rPr>
              <w:t>8 000 000</w:t>
            </w:r>
          </w:p>
        </w:tc>
      </w:tr>
      <w:tr w:rsidR="004C25B5" w14:paraId="03C01D30" w14:textId="77777777" w:rsidTr="004D3DCA">
        <w:tc>
          <w:tcPr>
            <w:tcW w:w="422" w:type="dxa"/>
            <w:tcBorders>
              <w:top w:val="nil"/>
              <w:bottom w:val="nil"/>
              <w:right w:val="nil"/>
            </w:tcBorders>
            <w:tcMar>
              <w:right w:w="0" w:type="dxa"/>
            </w:tcMar>
            <w:vAlign w:val="center"/>
          </w:tcPr>
          <w:p w14:paraId="3283D400" w14:textId="67566911" w:rsidR="00E70A5B" w:rsidRPr="001F1765" w:rsidRDefault="00E70A5B" w:rsidP="00C05CAA">
            <w:pPr>
              <w:pStyle w:val="REG-P0"/>
              <w:jc w:val="right"/>
              <w:rPr>
                <w:sz w:val="20"/>
                <w:szCs w:val="20"/>
              </w:rPr>
            </w:pPr>
            <w:r w:rsidRPr="001F1765">
              <w:rPr>
                <w:sz w:val="20"/>
                <w:szCs w:val="20"/>
              </w:rPr>
              <w:t xml:space="preserve">N$ </w:t>
            </w:r>
          </w:p>
        </w:tc>
        <w:tc>
          <w:tcPr>
            <w:tcW w:w="1032" w:type="dxa"/>
            <w:tcBorders>
              <w:top w:val="nil"/>
              <w:left w:val="nil"/>
              <w:bottom w:val="nil"/>
              <w:right w:val="nil"/>
            </w:tcBorders>
            <w:tcMar>
              <w:left w:w="0" w:type="dxa"/>
              <w:right w:w="0" w:type="dxa"/>
            </w:tcMar>
            <w:vAlign w:val="center"/>
          </w:tcPr>
          <w:p w14:paraId="000BC74A" w14:textId="79099979" w:rsidR="00E70A5B" w:rsidRPr="001F1765" w:rsidRDefault="00E70A5B" w:rsidP="003B78FD">
            <w:pPr>
              <w:pStyle w:val="REG-P0"/>
              <w:jc w:val="right"/>
              <w:rPr>
                <w:sz w:val="20"/>
                <w:szCs w:val="20"/>
              </w:rPr>
            </w:pPr>
            <w:r>
              <w:rPr>
                <w:sz w:val="20"/>
                <w:szCs w:val="20"/>
              </w:rPr>
              <w:t>1</w:t>
            </w:r>
            <w:r w:rsidRPr="001F1765">
              <w:rPr>
                <w:sz w:val="20"/>
                <w:szCs w:val="20"/>
              </w:rPr>
              <w:t>6 000 000</w:t>
            </w:r>
          </w:p>
        </w:tc>
        <w:tc>
          <w:tcPr>
            <w:tcW w:w="169" w:type="dxa"/>
            <w:gridSpan w:val="2"/>
            <w:tcBorders>
              <w:top w:val="nil"/>
              <w:left w:val="nil"/>
              <w:bottom w:val="nil"/>
              <w:right w:val="nil"/>
            </w:tcBorders>
            <w:tcMar>
              <w:left w:w="0" w:type="dxa"/>
              <w:right w:w="0" w:type="dxa"/>
            </w:tcMar>
            <w:vAlign w:val="center"/>
          </w:tcPr>
          <w:p w14:paraId="6FB3F433" w14:textId="2892966E" w:rsidR="00E70A5B" w:rsidRPr="001F1765" w:rsidRDefault="00E70A5B" w:rsidP="00C05CAA">
            <w:pPr>
              <w:pStyle w:val="REG-P0"/>
              <w:jc w:val="right"/>
              <w:rPr>
                <w:w w:val="105"/>
                <w:sz w:val="20"/>
                <w:szCs w:val="20"/>
              </w:rPr>
            </w:pPr>
            <w:r>
              <w:rPr>
                <w:w w:val="105"/>
                <w:sz w:val="20"/>
                <w:szCs w:val="20"/>
              </w:rPr>
              <w:t>-</w:t>
            </w:r>
          </w:p>
        </w:tc>
        <w:tc>
          <w:tcPr>
            <w:tcW w:w="337" w:type="dxa"/>
            <w:gridSpan w:val="2"/>
            <w:tcBorders>
              <w:top w:val="nil"/>
              <w:left w:val="nil"/>
              <w:bottom w:val="nil"/>
              <w:right w:val="nil"/>
            </w:tcBorders>
            <w:tcMar>
              <w:left w:w="0" w:type="dxa"/>
              <w:right w:w="0" w:type="dxa"/>
            </w:tcMar>
            <w:vAlign w:val="center"/>
          </w:tcPr>
          <w:p w14:paraId="749CCF7C" w14:textId="0547A0AA" w:rsidR="00E70A5B" w:rsidRPr="001F1765" w:rsidRDefault="00E70A5B" w:rsidP="00C05CAA">
            <w:pPr>
              <w:pStyle w:val="REG-P0"/>
              <w:jc w:val="right"/>
              <w:rPr>
                <w:w w:val="105"/>
                <w:sz w:val="20"/>
                <w:szCs w:val="20"/>
              </w:rPr>
            </w:pPr>
            <w:r w:rsidRPr="001F1765">
              <w:rPr>
                <w:sz w:val="20"/>
                <w:szCs w:val="20"/>
              </w:rPr>
              <w:t>N$</w:t>
            </w:r>
          </w:p>
        </w:tc>
        <w:tc>
          <w:tcPr>
            <w:tcW w:w="1159" w:type="dxa"/>
            <w:gridSpan w:val="2"/>
            <w:tcBorders>
              <w:top w:val="nil"/>
              <w:left w:val="nil"/>
              <w:bottom w:val="nil"/>
              <w:right w:val="single" w:sz="4" w:space="0" w:color="000000"/>
            </w:tcBorders>
            <w:tcMar>
              <w:right w:w="68" w:type="dxa"/>
            </w:tcMar>
            <w:vAlign w:val="center"/>
          </w:tcPr>
          <w:p w14:paraId="49EE10EE" w14:textId="61EF8BB6" w:rsidR="00E70A5B" w:rsidRPr="001F1765" w:rsidRDefault="00064E11" w:rsidP="00064E11">
            <w:pPr>
              <w:pStyle w:val="REG-P0"/>
              <w:jc w:val="right"/>
              <w:rPr>
                <w:w w:val="105"/>
                <w:sz w:val="20"/>
                <w:szCs w:val="20"/>
              </w:rPr>
            </w:pPr>
            <w:r w:rsidRPr="001F1765">
              <w:rPr>
                <w:sz w:val="20"/>
                <w:szCs w:val="20"/>
              </w:rPr>
              <w:t>32 000 000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5EE919DA" w14:textId="00504622" w:rsidR="00E70A5B" w:rsidRPr="001F1765" w:rsidRDefault="00E70A5B" w:rsidP="00240137">
            <w:pPr>
              <w:pStyle w:val="REG-P0"/>
              <w:tabs>
                <w:tab w:val="clear" w:pos="567"/>
              </w:tabs>
              <w:jc w:val="right"/>
              <w:rPr>
                <w:sz w:val="20"/>
                <w:szCs w:val="20"/>
              </w:rPr>
            </w:pPr>
            <w:r w:rsidRPr="001F1765">
              <w:rPr>
                <w:w w:val="105"/>
                <w:sz w:val="20"/>
                <w:szCs w:val="20"/>
              </w:rPr>
              <w:t xml:space="preserve">N$ </w:t>
            </w:r>
            <w:r w:rsidR="00A27753">
              <w:rPr>
                <w:w w:val="105"/>
                <w:sz w:val="20"/>
                <w:szCs w:val="20"/>
              </w:rPr>
              <w:t xml:space="preserve"> </w:t>
            </w:r>
            <w:r w:rsidRPr="001F1765">
              <w:rPr>
                <w:w w:val="105"/>
                <w:sz w:val="20"/>
                <w:szCs w:val="20"/>
              </w:rPr>
              <w:t>638 755</w:t>
            </w:r>
          </w:p>
        </w:tc>
        <w:tc>
          <w:tcPr>
            <w:tcW w:w="3402" w:type="dxa"/>
            <w:tcBorders>
              <w:top w:val="nil"/>
              <w:left w:val="single" w:sz="4" w:space="0" w:color="000000"/>
              <w:bottom w:val="nil"/>
            </w:tcBorders>
            <w:tcMar>
              <w:left w:w="68" w:type="dxa"/>
              <w:right w:w="68" w:type="dxa"/>
            </w:tcMar>
            <w:vAlign w:val="center"/>
          </w:tcPr>
          <w:p w14:paraId="2F91B456" w14:textId="20588F3F" w:rsidR="00E70A5B" w:rsidRPr="001F1765" w:rsidRDefault="00E70A5B" w:rsidP="001C69DA">
            <w:pPr>
              <w:pStyle w:val="REG-P0"/>
              <w:tabs>
                <w:tab w:val="left" w:pos="1080"/>
                <w:tab w:val="left" w:pos="1956"/>
                <w:tab w:val="left" w:pos="2013"/>
                <w:tab w:val="left" w:pos="2053"/>
              </w:tabs>
              <w:rPr>
                <w:sz w:val="20"/>
                <w:szCs w:val="20"/>
              </w:rPr>
            </w:pPr>
            <w:r w:rsidRPr="001F1765">
              <w:rPr>
                <w:sz w:val="20"/>
                <w:szCs w:val="20"/>
              </w:rPr>
              <w:t>3,36%</w:t>
            </w:r>
            <w:r w:rsidR="004C25B5">
              <w:rPr>
                <w:sz w:val="20"/>
                <w:szCs w:val="20"/>
              </w:rPr>
              <w:tab/>
            </w:r>
            <w:r w:rsidRPr="001F1765">
              <w:rPr>
                <w:sz w:val="20"/>
                <w:szCs w:val="20"/>
              </w:rPr>
              <w:t>on balance over</w:t>
            </w:r>
            <w:r w:rsidR="007A5BC9">
              <w:rPr>
                <w:sz w:val="20"/>
                <w:szCs w:val="20"/>
              </w:rPr>
              <w:tab/>
            </w:r>
            <w:r w:rsidRPr="001F1765">
              <w:rPr>
                <w:sz w:val="20"/>
                <w:szCs w:val="20"/>
              </w:rPr>
              <w:t>N$</w:t>
            </w:r>
            <w:r w:rsidR="00CC44DB">
              <w:rPr>
                <w:sz w:val="20"/>
                <w:szCs w:val="20"/>
              </w:rPr>
              <w:t> </w:t>
            </w:r>
            <w:r w:rsidRPr="001F1765">
              <w:rPr>
                <w:sz w:val="20"/>
                <w:szCs w:val="20"/>
              </w:rPr>
              <w:t>16 000 000</w:t>
            </w:r>
          </w:p>
        </w:tc>
      </w:tr>
      <w:tr w:rsidR="004C25B5" w14:paraId="49F5E486" w14:textId="77777777" w:rsidTr="004D3DCA">
        <w:tc>
          <w:tcPr>
            <w:tcW w:w="422" w:type="dxa"/>
            <w:tcBorders>
              <w:top w:val="nil"/>
              <w:bottom w:val="nil"/>
              <w:right w:val="nil"/>
            </w:tcBorders>
            <w:tcMar>
              <w:right w:w="0" w:type="dxa"/>
            </w:tcMar>
            <w:vAlign w:val="center"/>
          </w:tcPr>
          <w:p w14:paraId="797307C1" w14:textId="68CF69AF" w:rsidR="00E70A5B" w:rsidRPr="001F1765" w:rsidRDefault="00E70A5B" w:rsidP="00C05CAA">
            <w:pPr>
              <w:pStyle w:val="REG-P0"/>
              <w:jc w:val="right"/>
              <w:rPr>
                <w:sz w:val="20"/>
                <w:szCs w:val="20"/>
              </w:rPr>
            </w:pPr>
            <w:r w:rsidRPr="001F1765">
              <w:rPr>
                <w:w w:val="105"/>
                <w:sz w:val="20"/>
                <w:szCs w:val="20"/>
              </w:rPr>
              <w:t xml:space="preserve">N$ </w:t>
            </w:r>
          </w:p>
        </w:tc>
        <w:tc>
          <w:tcPr>
            <w:tcW w:w="1032" w:type="dxa"/>
            <w:tcBorders>
              <w:top w:val="nil"/>
              <w:left w:val="nil"/>
              <w:bottom w:val="nil"/>
              <w:right w:val="nil"/>
            </w:tcBorders>
            <w:tcMar>
              <w:left w:w="0" w:type="dxa"/>
              <w:right w:w="0" w:type="dxa"/>
            </w:tcMar>
            <w:vAlign w:val="center"/>
          </w:tcPr>
          <w:p w14:paraId="7C2C7B06" w14:textId="78163F74" w:rsidR="00E70A5B" w:rsidRPr="001F1765" w:rsidRDefault="00E70A5B" w:rsidP="003B78FD">
            <w:pPr>
              <w:pStyle w:val="REG-P0"/>
              <w:jc w:val="right"/>
              <w:rPr>
                <w:sz w:val="20"/>
                <w:szCs w:val="20"/>
              </w:rPr>
            </w:pPr>
            <w:r w:rsidRPr="001F1765">
              <w:rPr>
                <w:w w:val="105"/>
                <w:sz w:val="20"/>
                <w:szCs w:val="20"/>
              </w:rPr>
              <w:t>32 000 000</w:t>
            </w:r>
          </w:p>
        </w:tc>
        <w:tc>
          <w:tcPr>
            <w:tcW w:w="169" w:type="dxa"/>
            <w:gridSpan w:val="2"/>
            <w:tcBorders>
              <w:top w:val="nil"/>
              <w:left w:val="nil"/>
              <w:bottom w:val="nil"/>
              <w:right w:val="nil"/>
            </w:tcBorders>
            <w:tcMar>
              <w:left w:w="0" w:type="dxa"/>
              <w:right w:w="0" w:type="dxa"/>
            </w:tcMar>
            <w:vAlign w:val="center"/>
          </w:tcPr>
          <w:p w14:paraId="6B710824" w14:textId="1AA1D0CE" w:rsidR="00E70A5B" w:rsidRPr="001F1765" w:rsidRDefault="00E70A5B" w:rsidP="00C05CAA">
            <w:pPr>
              <w:pStyle w:val="REG-P0"/>
              <w:jc w:val="right"/>
              <w:rPr>
                <w:sz w:val="20"/>
                <w:szCs w:val="20"/>
              </w:rPr>
            </w:pPr>
            <w:r>
              <w:rPr>
                <w:sz w:val="20"/>
                <w:szCs w:val="20"/>
              </w:rPr>
              <w:t>-</w:t>
            </w:r>
          </w:p>
        </w:tc>
        <w:tc>
          <w:tcPr>
            <w:tcW w:w="337" w:type="dxa"/>
            <w:gridSpan w:val="2"/>
            <w:tcBorders>
              <w:top w:val="nil"/>
              <w:left w:val="nil"/>
              <w:bottom w:val="nil"/>
              <w:right w:val="nil"/>
            </w:tcBorders>
            <w:tcMar>
              <w:left w:w="0" w:type="dxa"/>
              <w:right w:w="0" w:type="dxa"/>
            </w:tcMar>
            <w:vAlign w:val="center"/>
          </w:tcPr>
          <w:p w14:paraId="5ECA050E" w14:textId="3CE1C053" w:rsidR="00E70A5B" w:rsidRPr="001F1765" w:rsidRDefault="00E70A5B" w:rsidP="00C05CAA">
            <w:pPr>
              <w:pStyle w:val="REG-P0"/>
              <w:jc w:val="right"/>
              <w:rPr>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6F8902EE" w14:textId="59BC4002" w:rsidR="00E70A5B" w:rsidRPr="001F1765" w:rsidRDefault="00064E11" w:rsidP="00064E11">
            <w:pPr>
              <w:pStyle w:val="REG-P0"/>
              <w:jc w:val="right"/>
              <w:rPr>
                <w:sz w:val="20"/>
                <w:szCs w:val="20"/>
              </w:rPr>
            </w:pPr>
            <w:r w:rsidRPr="001F1765">
              <w:rPr>
                <w:w w:val="105"/>
                <w:sz w:val="20"/>
                <w:szCs w:val="20"/>
              </w:rPr>
              <w:t>64 000 000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5178850C" w14:textId="4D0C64EF" w:rsidR="00E70A5B" w:rsidRPr="001F1765" w:rsidRDefault="00E70A5B" w:rsidP="00240137">
            <w:pPr>
              <w:pStyle w:val="REG-P0"/>
              <w:tabs>
                <w:tab w:val="clear" w:pos="567"/>
              </w:tabs>
              <w:jc w:val="right"/>
              <w:rPr>
                <w:sz w:val="20"/>
                <w:szCs w:val="20"/>
              </w:rPr>
            </w:pPr>
            <w:r w:rsidRPr="001F1765">
              <w:rPr>
                <w:sz w:val="20"/>
                <w:szCs w:val="20"/>
              </w:rPr>
              <w:t>N$1 176 355</w:t>
            </w:r>
          </w:p>
        </w:tc>
        <w:tc>
          <w:tcPr>
            <w:tcW w:w="3402" w:type="dxa"/>
            <w:tcBorders>
              <w:top w:val="nil"/>
              <w:left w:val="single" w:sz="4" w:space="0" w:color="000000"/>
              <w:bottom w:val="nil"/>
            </w:tcBorders>
            <w:tcMar>
              <w:left w:w="68" w:type="dxa"/>
              <w:right w:w="68" w:type="dxa"/>
            </w:tcMar>
            <w:vAlign w:val="center"/>
          </w:tcPr>
          <w:p w14:paraId="1794FE8B" w14:textId="1E543A98" w:rsidR="00E70A5B" w:rsidRPr="001F1765" w:rsidRDefault="00E70A5B" w:rsidP="001C69DA">
            <w:pPr>
              <w:pStyle w:val="REG-P0"/>
              <w:tabs>
                <w:tab w:val="left" w:pos="1080"/>
                <w:tab w:val="left" w:pos="1956"/>
                <w:tab w:val="left" w:pos="2013"/>
                <w:tab w:val="left" w:pos="2053"/>
              </w:tabs>
              <w:rPr>
                <w:sz w:val="20"/>
                <w:szCs w:val="20"/>
              </w:rPr>
            </w:pPr>
            <w:r w:rsidRPr="001F1765">
              <w:rPr>
                <w:sz w:val="20"/>
                <w:szCs w:val="20"/>
              </w:rPr>
              <w:t>3,32%</w:t>
            </w:r>
            <w:r w:rsidR="004C25B5">
              <w:rPr>
                <w:sz w:val="20"/>
                <w:szCs w:val="20"/>
              </w:rPr>
              <w:tab/>
            </w:r>
            <w:r w:rsidRPr="001F1765">
              <w:rPr>
                <w:sz w:val="20"/>
                <w:szCs w:val="20"/>
              </w:rPr>
              <w:t>on balance over</w:t>
            </w:r>
            <w:r w:rsidR="007A5BC9">
              <w:rPr>
                <w:sz w:val="20"/>
                <w:szCs w:val="20"/>
              </w:rPr>
              <w:tab/>
            </w:r>
            <w:r w:rsidRPr="001F1765">
              <w:rPr>
                <w:sz w:val="20"/>
                <w:szCs w:val="20"/>
              </w:rPr>
              <w:t>N$</w:t>
            </w:r>
            <w:r w:rsidR="00CC44DB">
              <w:rPr>
                <w:sz w:val="20"/>
                <w:szCs w:val="20"/>
              </w:rPr>
              <w:t> </w:t>
            </w:r>
            <w:r w:rsidRPr="001F1765">
              <w:rPr>
                <w:sz w:val="20"/>
                <w:szCs w:val="20"/>
              </w:rPr>
              <w:t>32 000 000</w:t>
            </w:r>
          </w:p>
        </w:tc>
      </w:tr>
      <w:tr w:rsidR="004C25B5" w14:paraId="46A39FCB" w14:textId="77777777" w:rsidTr="004D3DCA">
        <w:tc>
          <w:tcPr>
            <w:tcW w:w="422" w:type="dxa"/>
            <w:tcBorders>
              <w:top w:val="nil"/>
              <w:bottom w:val="nil"/>
              <w:right w:val="nil"/>
            </w:tcBorders>
            <w:tcMar>
              <w:right w:w="0" w:type="dxa"/>
            </w:tcMar>
            <w:vAlign w:val="center"/>
          </w:tcPr>
          <w:p w14:paraId="75FA1C14" w14:textId="381298BB" w:rsidR="00E70A5B" w:rsidRPr="001F1765" w:rsidRDefault="00E70A5B" w:rsidP="00C05CAA">
            <w:pPr>
              <w:pStyle w:val="REG-P0"/>
              <w:jc w:val="right"/>
              <w:rPr>
                <w:sz w:val="20"/>
                <w:szCs w:val="20"/>
              </w:rPr>
            </w:pPr>
            <w:r w:rsidRPr="001F1765">
              <w:rPr>
                <w:w w:val="105"/>
                <w:sz w:val="20"/>
                <w:szCs w:val="20"/>
              </w:rPr>
              <w:t xml:space="preserve">N$ </w:t>
            </w:r>
          </w:p>
        </w:tc>
        <w:tc>
          <w:tcPr>
            <w:tcW w:w="1032" w:type="dxa"/>
            <w:tcBorders>
              <w:top w:val="nil"/>
              <w:left w:val="nil"/>
              <w:bottom w:val="nil"/>
              <w:right w:val="nil"/>
            </w:tcBorders>
            <w:tcMar>
              <w:left w:w="0" w:type="dxa"/>
              <w:right w:w="0" w:type="dxa"/>
            </w:tcMar>
            <w:vAlign w:val="center"/>
          </w:tcPr>
          <w:p w14:paraId="794CD433" w14:textId="3C7A17EC" w:rsidR="00E70A5B" w:rsidRPr="001F1765" w:rsidRDefault="00E70A5B" w:rsidP="003B78FD">
            <w:pPr>
              <w:pStyle w:val="REG-P0"/>
              <w:jc w:val="right"/>
              <w:rPr>
                <w:sz w:val="20"/>
                <w:szCs w:val="20"/>
              </w:rPr>
            </w:pPr>
            <w:r w:rsidRPr="001F1765">
              <w:rPr>
                <w:w w:val="105"/>
                <w:sz w:val="20"/>
                <w:szCs w:val="20"/>
              </w:rPr>
              <w:t>64 000 000</w:t>
            </w:r>
          </w:p>
        </w:tc>
        <w:tc>
          <w:tcPr>
            <w:tcW w:w="169" w:type="dxa"/>
            <w:gridSpan w:val="2"/>
            <w:tcBorders>
              <w:top w:val="nil"/>
              <w:left w:val="nil"/>
              <w:bottom w:val="nil"/>
              <w:right w:val="nil"/>
            </w:tcBorders>
            <w:tcMar>
              <w:left w:w="0" w:type="dxa"/>
              <w:right w:w="0" w:type="dxa"/>
            </w:tcMar>
            <w:vAlign w:val="center"/>
          </w:tcPr>
          <w:p w14:paraId="56C6CC6E" w14:textId="4CD43651" w:rsidR="00E70A5B" w:rsidRPr="001F1765" w:rsidRDefault="00E70A5B" w:rsidP="00C05CAA">
            <w:pPr>
              <w:pStyle w:val="REG-P0"/>
              <w:jc w:val="right"/>
              <w:rPr>
                <w:sz w:val="20"/>
                <w:szCs w:val="20"/>
              </w:rPr>
            </w:pPr>
            <w:r>
              <w:rPr>
                <w:sz w:val="20"/>
                <w:szCs w:val="20"/>
              </w:rPr>
              <w:t>-</w:t>
            </w:r>
          </w:p>
        </w:tc>
        <w:tc>
          <w:tcPr>
            <w:tcW w:w="337" w:type="dxa"/>
            <w:gridSpan w:val="2"/>
            <w:tcBorders>
              <w:top w:val="nil"/>
              <w:left w:val="nil"/>
              <w:bottom w:val="nil"/>
              <w:right w:val="nil"/>
            </w:tcBorders>
            <w:tcMar>
              <w:left w:w="0" w:type="dxa"/>
              <w:right w:w="0" w:type="dxa"/>
            </w:tcMar>
            <w:vAlign w:val="center"/>
          </w:tcPr>
          <w:p w14:paraId="7B445FC3" w14:textId="102F9F69" w:rsidR="00E70A5B" w:rsidRPr="001F1765" w:rsidRDefault="00E70A5B" w:rsidP="00C05CAA">
            <w:pPr>
              <w:pStyle w:val="REG-P0"/>
              <w:jc w:val="right"/>
              <w:rPr>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6CEB9631" w14:textId="0E0339E4" w:rsidR="00E70A5B" w:rsidRPr="001F1765" w:rsidRDefault="00064E11" w:rsidP="00064E11">
            <w:pPr>
              <w:pStyle w:val="REG-P0"/>
              <w:jc w:val="right"/>
              <w:rPr>
                <w:sz w:val="20"/>
                <w:szCs w:val="20"/>
              </w:rPr>
            </w:pPr>
            <w:r w:rsidRPr="001F1765">
              <w:rPr>
                <w:w w:val="105"/>
                <w:sz w:val="20"/>
                <w:szCs w:val="20"/>
              </w:rPr>
              <w:t>128 000 000</w:t>
            </w:r>
          </w:p>
        </w:tc>
        <w:tc>
          <w:tcPr>
            <w:tcW w:w="1276" w:type="dxa"/>
            <w:tcBorders>
              <w:top w:val="nil"/>
              <w:left w:val="single" w:sz="4" w:space="0" w:color="000000"/>
              <w:bottom w:val="nil"/>
              <w:right w:val="single" w:sz="4" w:space="0" w:color="000000"/>
            </w:tcBorders>
            <w:tcMar>
              <w:left w:w="68" w:type="dxa"/>
              <w:right w:w="68" w:type="dxa"/>
            </w:tcMar>
            <w:vAlign w:val="center"/>
          </w:tcPr>
          <w:p w14:paraId="13759B78" w14:textId="76426A0E" w:rsidR="00E70A5B" w:rsidRPr="001F1765" w:rsidRDefault="00E70A5B" w:rsidP="00240137">
            <w:pPr>
              <w:pStyle w:val="REG-P0"/>
              <w:tabs>
                <w:tab w:val="clear" w:pos="567"/>
              </w:tabs>
              <w:jc w:val="right"/>
              <w:rPr>
                <w:sz w:val="20"/>
                <w:szCs w:val="20"/>
              </w:rPr>
            </w:pPr>
            <w:r w:rsidRPr="001F1765">
              <w:rPr>
                <w:sz w:val="20"/>
                <w:szCs w:val="20"/>
              </w:rPr>
              <w:t>N$2 238 755</w:t>
            </w:r>
          </w:p>
        </w:tc>
        <w:tc>
          <w:tcPr>
            <w:tcW w:w="3402" w:type="dxa"/>
            <w:tcBorders>
              <w:top w:val="nil"/>
              <w:left w:val="single" w:sz="4" w:space="0" w:color="000000"/>
              <w:bottom w:val="nil"/>
            </w:tcBorders>
            <w:tcMar>
              <w:left w:w="68" w:type="dxa"/>
              <w:right w:w="68" w:type="dxa"/>
            </w:tcMar>
            <w:vAlign w:val="center"/>
          </w:tcPr>
          <w:p w14:paraId="21DA16A6" w14:textId="1698AD7B" w:rsidR="00E70A5B" w:rsidRPr="001F1765" w:rsidRDefault="00E70A5B" w:rsidP="001C69DA">
            <w:pPr>
              <w:pStyle w:val="REG-P0"/>
              <w:tabs>
                <w:tab w:val="left" w:pos="1080"/>
                <w:tab w:val="left" w:pos="1956"/>
                <w:tab w:val="left" w:pos="2013"/>
                <w:tab w:val="left" w:pos="2053"/>
              </w:tabs>
              <w:rPr>
                <w:sz w:val="20"/>
                <w:szCs w:val="20"/>
              </w:rPr>
            </w:pPr>
            <w:r w:rsidRPr="001F1765">
              <w:rPr>
                <w:sz w:val="20"/>
                <w:szCs w:val="20"/>
              </w:rPr>
              <w:t>2,79%</w:t>
            </w:r>
            <w:r w:rsidR="004C25B5">
              <w:rPr>
                <w:sz w:val="20"/>
                <w:szCs w:val="20"/>
              </w:rPr>
              <w:tab/>
            </w:r>
            <w:r w:rsidRPr="001F1765">
              <w:rPr>
                <w:sz w:val="20"/>
                <w:szCs w:val="20"/>
              </w:rPr>
              <w:t>on balance over</w:t>
            </w:r>
            <w:r w:rsidR="007A5BC9">
              <w:rPr>
                <w:sz w:val="20"/>
                <w:szCs w:val="20"/>
              </w:rPr>
              <w:tab/>
            </w:r>
            <w:r w:rsidRPr="001F1765">
              <w:rPr>
                <w:sz w:val="20"/>
                <w:szCs w:val="20"/>
              </w:rPr>
              <w:t>N$</w:t>
            </w:r>
            <w:r w:rsidR="00CC44DB">
              <w:rPr>
                <w:sz w:val="20"/>
                <w:szCs w:val="20"/>
              </w:rPr>
              <w:t> </w:t>
            </w:r>
            <w:r w:rsidRPr="001F1765">
              <w:rPr>
                <w:sz w:val="20"/>
                <w:szCs w:val="20"/>
              </w:rPr>
              <w:t>64 000 000</w:t>
            </w:r>
          </w:p>
        </w:tc>
      </w:tr>
      <w:tr w:rsidR="00BF7300" w14:paraId="50031CFB" w14:textId="77777777" w:rsidTr="004D3DCA">
        <w:tc>
          <w:tcPr>
            <w:tcW w:w="422" w:type="dxa"/>
            <w:tcBorders>
              <w:top w:val="nil"/>
              <w:bottom w:val="nil"/>
              <w:right w:val="nil"/>
            </w:tcBorders>
            <w:tcMar>
              <w:right w:w="0" w:type="dxa"/>
            </w:tcMar>
            <w:vAlign w:val="center"/>
          </w:tcPr>
          <w:p w14:paraId="21FD0CBA" w14:textId="4DED02DF" w:rsidR="00E70A5B" w:rsidRPr="001F1765" w:rsidRDefault="00E70A5B" w:rsidP="00C05CAA">
            <w:pPr>
              <w:pStyle w:val="REG-P0"/>
              <w:jc w:val="right"/>
              <w:rPr>
                <w:sz w:val="20"/>
                <w:szCs w:val="20"/>
              </w:rPr>
            </w:pPr>
            <w:r w:rsidRPr="001F1765">
              <w:rPr>
                <w:w w:val="105"/>
                <w:sz w:val="20"/>
                <w:szCs w:val="20"/>
              </w:rPr>
              <w:t>N$</w:t>
            </w:r>
          </w:p>
        </w:tc>
        <w:tc>
          <w:tcPr>
            <w:tcW w:w="1032" w:type="dxa"/>
            <w:tcBorders>
              <w:top w:val="nil"/>
              <w:left w:val="nil"/>
              <w:bottom w:val="nil"/>
              <w:right w:val="nil"/>
            </w:tcBorders>
            <w:tcMar>
              <w:left w:w="0" w:type="dxa"/>
              <w:right w:w="0" w:type="dxa"/>
            </w:tcMar>
            <w:vAlign w:val="center"/>
          </w:tcPr>
          <w:p w14:paraId="0E35FF26" w14:textId="1894103D" w:rsidR="00E70A5B" w:rsidRPr="001F1765" w:rsidRDefault="00E70A5B" w:rsidP="003B78FD">
            <w:pPr>
              <w:pStyle w:val="REG-P0"/>
              <w:jc w:val="right"/>
              <w:rPr>
                <w:sz w:val="20"/>
                <w:szCs w:val="20"/>
              </w:rPr>
            </w:pPr>
            <w:r w:rsidRPr="001F1765">
              <w:rPr>
                <w:w w:val="105"/>
                <w:sz w:val="20"/>
                <w:szCs w:val="20"/>
              </w:rPr>
              <w:t>128</w:t>
            </w:r>
            <w:r w:rsidRPr="001F1765">
              <w:rPr>
                <w:spacing w:val="-9"/>
                <w:w w:val="105"/>
                <w:sz w:val="20"/>
                <w:szCs w:val="20"/>
              </w:rPr>
              <w:t xml:space="preserve"> </w:t>
            </w:r>
            <w:r w:rsidRPr="001F1765">
              <w:rPr>
                <w:w w:val="105"/>
                <w:sz w:val="20"/>
                <w:szCs w:val="20"/>
              </w:rPr>
              <w:t>000</w:t>
            </w:r>
            <w:r w:rsidRPr="001F1765">
              <w:rPr>
                <w:spacing w:val="-18"/>
                <w:w w:val="105"/>
                <w:sz w:val="20"/>
                <w:szCs w:val="20"/>
              </w:rPr>
              <w:t xml:space="preserve"> </w:t>
            </w:r>
            <w:r w:rsidRPr="001F1765">
              <w:rPr>
                <w:w w:val="105"/>
                <w:sz w:val="20"/>
                <w:szCs w:val="20"/>
              </w:rPr>
              <w:t>000</w:t>
            </w:r>
          </w:p>
        </w:tc>
        <w:tc>
          <w:tcPr>
            <w:tcW w:w="169" w:type="dxa"/>
            <w:gridSpan w:val="2"/>
            <w:tcBorders>
              <w:top w:val="nil"/>
              <w:left w:val="nil"/>
              <w:bottom w:val="nil"/>
              <w:right w:val="nil"/>
            </w:tcBorders>
            <w:tcMar>
              <w:left w:w="0" w:type="dxa"/>
              <w:right w:w="0" w:type="dxa"/>
            </w:tcMar>
            <w:vAlign w:val="center"/>
          </w:tcPr>
          <w:p w14:paraId="3C1E975C" w14:textId="0434A635" w:rsidR="00E70A5B" w:rsidRPr="001F1765" w:rsidRDefault="00E70A5B" w:rsidP="00C05CAA">
            <w:pPr>
              <w:pStyle w:val="REG-P0"/>
              <w:jc w:val="right"/>
              <w:rPr>
                <w:sz w:val="20"/>
                <w:szCs w:val="20"/>
              </w:rPr>
            </w:pPr>
            <w:r>
              <w:rPr>
                <w:sz w:val="20"/>
                <w:szCs w:val="20"/>
              </w:rPr>
              <w:t>-</w:t>
            </w:r>
          </w:p>
        </w:tc>
        <w:tc>
          <w:tcPr>
            <w:tcW w:w="337" w:type="dxa"/>
            <w:gridSpan w:val="2"/>
            <w:tcBorders>
              <w:top w:val="nil"/>
              <w:left w:val="nil"/>
              <w:bottom w:val="nil"/>
              <w:right w:val="nil"/>
            </w:tcBorders>
            <w:tcMar>
              <w:left w:w="0" w:type="dxa"/>
              <w:right w:w="0" w:type="dxa"/>
            </w:tcMar>
            <w:vAlign w:val="center"/>
          </w:tcPr>
          <w:p w14:paraId="37C280A8" w14:textId="08C0D461" w:rsidR="00E70A5B" w:rsidRPr="001F1765" w:rsidRDefault="00E70A5B" w:rsidP="00C05CAA">
            <w:pPr>
              <w:pStyle w:val="REG-P0"/>
              <w:jc w:val="right"/>
              <w:rPr>
                <w:sz w:val="20"/>
                <w:szCs w:val="20"/>
              </w:rPr>
            </w:pPr>
            <w:r w:rsidRPr="001F1765">
              <w:rPr>
                <w:w w:val="105"/>
                <w:sz w:val="20"/>
                <w:szCs w:val="20"/>
              </w:rPr>
              <w:t>N$</w:t>
            </w:r>
          </w:p>
        </w:tc>
        <w:tc>
          <w:tcPr>
            <w:tcW w:w="1159" w:type="dxa"/>
            <w:gridSpan w:val="2"/>
            <w:tcBorders>
              <w:top w:val="nil"/>
              <w:left w:val="nil"/>
              <w:bottom w:val="nil"/>
              <w:right w:val="single" w:sz="4" w:space="0" w:color="000000"/>
            </w:tcBorders>
            <w:tcMar>
              <w:right w:w="68" w:type="dxa"/>
            </w:tcMar>
            <w:vAlign w:val="center"/>
          </w:tcPr>
          <w:p w14:paraId="4FFBDB5B" w14:textId="68A0364C" w:rsidR="00E70A5B" w:rsidRPr="001F1765" w:rsidRDefault="00064E11" w:rsidP="00064E11">
            <w:pPr>
              <w:pStyle w:val="REG-P0"/>
              <w:jc w:val="right"/>
              <w:rPr>
                <w:sz w:val="20"/>
                <w:szCs w:val="20"/>
              </w:rPr>
            </w:pPr>
            <w:r w:rsidRPr="001F1765">
              <w:rPr>
                <w:w w:val="105"/>
                <w:sz w:val="20"/>
                <w:szCs w:val="20"/>
              </w:rPr>
              <w:t>256</w:t>
            </w:r>
            <w:r w:rsidRPr="001F1765">
              <w:rPr>
                <w:spacing w:val="-12"/>
                <w:w w:val="105"/>
                <w:sz w:val="20"/>
                <w:szCs w:val="20"/>
              </w:rPr>
              <w:t xml:space="preserve"> </w:t>
            </w:r>
            <w:r w:rsidRPr="001F1765">
              <w:rPr>
                <w:w w:val="105"/>
                <w:sz w:val="20"/>
                <w:szCs w:val="20"/>
              </w:rPr>
              <w:t>000</w:t>
            </w:r>
            <w:r w:rsidRPr="001F1765">
              <w:rPr>
                <w:spacing w:val="-18"/>
                <w:w w:val="105"/>
                <w:sz w:val="20"/>
                <w:szCs w:val="20"/>
              </w:rPr>
              <w:t xml:space="preserve"> </w:t>
            </w:r>
            <w:r w:rsidRPr="001F1765">
              <w:rPr>
                <w:w w:val="105"/>
                <w:sz w:val="20"/>
                <w:szCs w:val="20"/>
              </w:rPr>
              <w:t>000</w:t>
            </w:r>
          </w:p>
        </w:tc>
        <w:tc>
          <w:tcPr>
            <w:tcW w:w="1276" w:type="dxa"/>
            <w:tcBorders>
              <w:top w:val="nil"/>
              <w:left w:val="single" w:sz="4" w:space="0" w:color="000000"/>
              <w:bottom w:val="nil"/>
              <w:right w:val="single" w:sz="4" w:space="0" w:color="000000"/>
            </w:tcBorders>
            <w:tcMar>
              <w:left w:w="68" w:type="dxa"/>
              <w:right w:w="68" w:type="dxa"/>
            </w:tcMar>
            <w:vAlign w:val="center"/>
          </w:tcPr>
          <w:p w14:paraId="488A0475" w14:textId="24EDC06D" w:rsidR="00E70A5B" w:rsidRPr="001F1765" w:rsidRDefault="00E70A5B" w:rsidP="00240137">
            <w:pPr>
              <w:pStyle w:val="REG-P0"/>
              <w:tabs>
                <w:tab w:val="clear" w:pos="567"/>
              </w:tabs>
              <w:jc w:val="right"/>
              <w:rPr>
                <w:sz w:val="20"/>
                <w:szCs w:val="20"/>
              </w:rPr>
            </w:pPr>
            <w:r w:rsidRPr="001F1765">
              <w:rPr>
                <w:sz w:val="20"/>
                <w:szCs w:val="20"/>
              </w:rPr>
              <w:t>N$4 024 355</w:t>
            </w:r>
          </w:p>
        </w:tc>
        <w:tc>
          <w:tcPr>
            <w:tcW w:w="3402" w:type="dxa"/>
            <w:tcBorders>
              <w:top w:val="nil"/>
              <w:left w:val="single" w:sz="4" w:space="0" w:color="000000"/>
              <w:bottom w:val="nil"/>
            </w:tcBorders>
            <w:tcMar>
              <w:left w:w="68" w:type="dxa"/>
              <w:right w:w="68" w:type="dxa"/>
            </w:tcMar>
            <w:vAlign w:val="center"/>
          </w:tcPr>
          <w:p w14:paraId="71D9EA6C" w14:textId="422CD67D" w:rsidR="00E70A5B" w:rsidRPr="001F1765" w:rsidRDefault="00E70A5B" w:rsidP="001C69DA">
            <w:pPr>
              <w:pStyle w:val="REG-P0"/>
              <w:tabs>
                <w:tab w:val="left" w:pos="1080"/>
                <w:tab w:val="left" w:pos="1956"/>
                <w:tab w:val="left" w:pos="2013"/>
                <w:tab w:val="left" w:pos="2053"/>
              </w:tabs>
              <w:rPr>
                <w:sz w:val="20"/>
                <w:szCs w:val="20"/>
              </w:rPr>
            </w:pPr>
            <w:r w:rsidRPr="001F1765">
              <w:rPr>
                <w:sz w:val="20"/>
                <w:szCs w:val="20"/>
              </w:rPr>
              <w:t>2,58%</w:t>
            </w:r>
            <w:r w:rsidR="004C25B5">
              <w:rPr>
                <w:sz w:val="20"/>
                <w:szCs w:val="20"/>
              </w:rPr>
              <w:tab/>
            </w:r>
            <w:r w:rsidRPr="001F1765">
              <w:rPr>
                <w:sz w:val="20"/>
                <w:szCs w:val="20"/>
              </w:rPr>
              <w:t>on balance over</w:t>
            </w:r>
            <w:r w:rsidR="007A5BC9">
              <w:rPr>
                <w:sz w:val="20"/>
                <w:szCs w:val="20"/>
              </w:rPr>
              <w:tab/>
            </w:r>
            <w:r w:rsidRPr="001F1765">
              <w:rPr>
                <w:sz w:val="20"/>
                <w:szCs w:val="20"/>
              </w:rPr>
              <w:t>N$128 000 000</w:t>
            </w:r>
          </w:p>
        </w:tc>
      </w:tr>
      <w:tr w:rsidR="00D72C2B" w14:paraId="1FDB866B" w14:textId="77777777" w:rsidTr="004D3DCA">
        <w:tc>
          <w:tcPr>
            <w:tcW w:w="422" w:type="dxa"/>
            <w:tcBorders>
              <w:top w:val="nil"/>
              <w:bottom w:val="single" w:sz="8" w:space="0" w:color="auto"/>
              <w:right w:val="nil"/>
            </w:tcBorders>
            <w:tcMar>
              <w:right w:w="0" w:type="dxa"/>
            </w:tcMar>
            <w:vAlign w:val="center"/>
          </w:tcPr>
          <w:p w14:paraId="007EA4AD" w14:textId="4BAABCBD" w:rsidR="00D72C2B" w:rsidRPr="001F1765" w:rsidRDefault="00D72C2B" w:rsidP="00D72C2B">
            <w:pPr>
              <w:pStyle w:val="REG-P0"/>
              <w:jc w:val="right"/>
              <w:rPr>
                <w:w w:val="105"/>
                <w:sz w:val="20"/>
                <w:szCs w:val="20"/>
              </w:rPr>
            </w:pPr>
            <w:r>
              <w:rPr>
                <w:w w:val="105"/>
                <w:sz w:val="20"/>
                <w:szCs w:val="20"/>
              </w:rPr>
              <w:t>N$</w:t>
            </w:r>
          </w:p>
        </w:tc>
        <w:tc>
          <w:tcPr>
            <w:tcW w:w="1032" w:type="dxa"/>
            <w:tcBorders>
              <w:top w:val="nil"/>
              <w:left w:val="nil"/>
              <w:bottom w:val="single" w:sz="8" w:space="0" w:color="auto"/>
              <w:right w:val="nil"/>
            </w:tcBorders>
            <w:tcMar>
              <w:left w:w="0" w:type="dxa"/>
              <w:right w:w="0" w:type="dxa"/>
            </w:tcMar>
            <w:vAlign w:val="center"/>
          </w:tcPr>
          <w:p w14:paraId="1580281D" w14:textId="3ABB63A8" w:rsidR="00D72C2B" w:rsidRPr="001F1765" w:rsidRDefault="00D72C2B" w:rsidP="00D72C2B">
            <w:pPr>
              <w:pStyle w:val="REG-P0"/>
              <w:jc w:val="right"/>
              <w:rPr>
                <w:w w:val="105"/>
                <w:sz w:val="20"/>
                <w:szCs w:val="20"/>
              </w:rPr>
            </w:pPr>
            <w:r w:rsidRPr="001F1765">
              <w:rPr>
                <w:sz w:val="20"/>
                <w:szCs w:val="20"/>
              </w:rPr>
              <w:t>256 000 000</w:t>
            </w:r>
          </w:p>
        </w:tc>
        <w:tc>
          <w:tcPr>
            <w:tcW w:w="169" w:type="dxa"/>
            <w:gridSpan w:val="2"/>
            <w:tcBorders>
              <w:top w:val="nil"/>
              <w:left w:val="nil"/>
              <w:bottom w:val="single" w:sz="8" w:space="0" w:color="auto"/>
              <w:right w:val="nil"/>
            </w:tcBorders>
            <w:tcMar>
              <w:left w:w="0" w:type="dxa"/>
              <w:right w:w="0" w:type="dxa"/>
            </w:tcMar>
            <w:vAlign w:val="center"/>
          </w:tcPr>
          <w:p w14:paraId="708F9AE7" w14:textId="41EAFE65" w:rsidR="00D72C2B" w:rsidRDefault="00D72C2B" w:rsidP="00D72C2B">
            <w:pPr>
              <w:pStyle w:val="REG-P0"/>
              <w:jc w:val="right"/>
              <w:rPr>
                <w:sz w:val="20"/>
                <w:szCs w:val="20"/>
              </w:rPr>
            </w:pPr>
            <w:r>
              <w:rPr>
                <w:sz w:val="20"/>
                <w:szCs w:val="20"/>
              </w:rPr>
              <w:t>-</w:t>
            </w:r>
          </w:p>
        </w:tc>
        <w:tc>
          <w:tcPr>
            <w:tcW w:w="1496" w:type="dxa"/>
            <w:gridSpan w:val="4"/>
            <w:tcBorders>
              <w:top w:val="nil"/>
              <w:left w:val="nil"/>
              <w:bottom w:val="single" w:sz="8" w:space="0" w:color="auto"/>
              <w:right w:val="single" w:sz="4" w:space="0" w:color="000000"/>
            </w:tcBorders>
            <w:tcMar>
              <w:left w:w="0" w:type="dxa"/>
              <w:right w:w="0" w:type="dxa"/>
            </w:tcMar>
            <w:vAlign w:val="center"/>
          </w:tcPr>
          <w:p w14:paraId="571A445B" w14:textId="565B79D2" w:rsidR="00D72C2B" w:rsidRPr="001F1765" w:rsidRDefault="00D72C2B" w:rsidP="00D72C2B">
            <w:pPr>
              <w:pStyle w:val="REG-P0"/>
              <w:tabs>
                <w:tab w:val="clear" w:pos="567"/>
              </w:tabs>
              <w:rPr>
                <w:w w:val="105"/>
                <w:sz w:val="20"/>
                <w:szCs w:val="20"/>
              </w:rPr>
            </w:pPr>
            <w:r>
              <w:rPr>
                <w:sz w:val="20"/>
                <w:szCs w:val="20"/>
              </w:rPr>
              <w:t xml:space="preserve"> </w:t>
            </w:r>
            <w:r w:rsidRPr="001F1765">
              <w:rPr>
                <w:sz w:val="20"/>
                <w:szCs w:val="20"/>
              </w:rPr>
              <w:t>and over</w:t>
            </w:r>
          </w:p>
        </w:tc>
        <w:tc>
          <w:tcPr>
            <w:tcW w:w="1276" w:type="dxa"/>
            <w:tcBorders>
              <w:top w:val="nil"/>
              <w:left w:val="single" w:sz="4" w:space="0" w:color="000000"/>
              <w:bottom w:val="single" w:sz="8" w:space="0" w:color="auto"/>
              <w:right w:val="single" w:sz="4" w:space="0" w:color="000000"/>
            </w:tcBorders>
            <w:tcMar>
              <w:left w:w="68" w:type="dxa"/>
              <w:right w:w="68" w:type="dxa"/>
            </w:tcMar>
            <w:vAlign w:val="center"/>
          </w:tcPr>
          <w:p w14:paraId="25BD3878" w14:textId="77ABA29D" w:rsidR="00D72C2B" w:rsidRPr="001F1765" w:rsidRDefault="00D72C2B" w:rsidP="00D72C2B">
            <w:pPr>
              <w:pStyle w:val="REG-P0"/>
              <w:tabs>
                <w:tab w:val="clear" w:pos="567"/>
              </w:tabs>
              <w:jc w:val="right"/>
              <w:rPr>
                <w:sz w:val="20"/>
                <w:szCs w:val="20"/>
              </w:rPr>
            </w:pPr>
            <w:r w:rsidRPr="001F1765">
              <w:rPr>
                <w:sz w:val="20"/>
                <w:szCs w:val="20"/>
              </w:rPr>
              <w:t>N$7 326 755</w:t>
            </w:r>
          </w:p>
        </w:tc>
        <w:tc>
          <w:tcPr>
            <w:tcW w:w="3402" w:type="dxa"/>
            <w:tcBorders>
              <w:top w:val="nil"/>
              <w:left w:val="single" w:sz="4" w:space="0" w:color="000000"/>
              <w:bottom w:val="single" w:sz="8" w:space="0" w:color="auto"/>
            </w:tcBorders>
            <w:tcMar>
              <w:left w:w="68" w:type="dxa"/>
              <w:right w:w="68" w:type="dxa"/>
            </w:tcMar>
            <w:vAlign w:val="center"/>
          </w:tcPr>
          <w:p w14:paraId="672C0C2A" w14:textId="77777777" w:rsidR="00D72C2B" w:rsidRPr="001F1765" w:rsidRDefault="00D72C2B" w:rsidP="004C25B5">
            <w:pPr>
              <w:pStyle w:val="REG-P0"/>
              <w:jc w:val="left"/>
              <w:rPr>
                <w:sz w:val="20"/>
                <w:szCs w:val="20"/>
              </w:rPr>
            </w:pPr>
          </w:p>
        </w:tc>
      </w:tr>
      <w:bookmarkEnd w:id="1"/>
    </w:tbl>
    <w:p w14:paraId="2AF62ED8" w14:textId="77777777" w:rsidR="003101CC" w:rsidRPr="001F1765" w:rsidRDefault="003101CC" w:rsidP="001F1765">
      <w:pPr>
        <w:pStyle w:val="REG-P1"/>
      </w:pPr>
    </w:p>
    <w:p w14:paraId="416FE1B8" w14:textId="77777777" w:rsidR="003101CC" w:rsidRPr="00B60A07" w:rsidRDefault="00206481" w:rsidP="00B60A07">
      <w:pPr>
        <w:pStyle w:val="REG-P1"/>
      </w:pPr>
      <w:r w:rsidRPr="00B60A07">
        <w:t>(5)</w:t>
      </w:r>
      <w:r w:rsidRPr="00B60A07">
        <w:tab/>
        <w:t xml:space="preserve">The </w:t>
      </w:r>
      <w:r w:rsidRPr="00B60A07">
        <w:rPr>
          <w:b/>
        </w:rPr>
        <w:t>appropriate percentage</w:t>
      </w:r>
      <w:r w:rsidRPr="00B60A07">
        <w:t xml:space="preserve"> shall be as follows:</w:t>
      </w:r>
    </w:p>
    <w:p w14:paraId="7C333418" w14:textId="77777777" w:rsidR="003101CC" w:rsidRPr="001F1765" w:rsidRDefault="003101CC" w:rsidP="001F1765">
      <w:pPr>
        <w:pStyle w:val="REG-P1"/>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8" w:type="dxa"/>
          <w:right w:w="68" w:type="dxa"/>
        </w:tblCellMar>
        <w:tblLook w:val="01E0" w:firstRow="1" w:lastRow="1" w:firstColumn="1" w:lastColumn="1" w:noHBand="0" w:noVBand="0"/>
      </w:tblPr>
      <w:tblGrid>
        <w:gridCol w:w="4243"/>
        <w:gridCol w:w="1417"/>
        <w:gridCol w:w="1134"/>
        <w:gridCol w:w="993"/>
      </w:tblGrid>
      <w:tr w:rsidR="00271040" w14:paraId="156D3014" w14:textId="77777777" w:rsidTr="004D3DCA">
        <w:tc>
          <w:tcPr>
            <w:tcW w:w="4243" w:type="dxa"/>
            <w:vMerge w:val="restart"/>
            <w:vAlign w:val="center"/>
          </w:tcPr>
          <w:p w14:paraId="53627E45" w14:textId="77777777" w:rsidR="003101CC" w:rsidRPr="001F1765" w:rsidRDefault="00206481" w:rsidP="00F3037E">
            <w:pPr>
              <w:pStyle w:val="REG-P0"/>
              <w:jc w:val="center"/>
              <w:rPr>
                <w:b/>
                <w:sz w:val="20"/>
                <w:szCs w:val="20"/>
              </w:rPr>
            </w:pPr>
            <w:r w:rsidRPr="001F1765">
              <w:rPr>
                <w:b/>
                <w:w w:val="105"/>
                <w:sz w:val="20"/>
                <w:szCs w:val="20"/>
              </w:rPr>
              <w:t>Category</w:t>
            </w:r>
          </w:p>
        </w:tc>
        <w:tc>
          <w:tcPr>
            <w:tcW w:w="3544" w:type="dxa"/>
            <w:gridSpan w:val="3"/>
            <w:tcBorders>
              <w:bottom w:val="single" w:sz="4" w:space="0" w:color="000000"/>
            </w:tcBorders>
            <w:vAlign w:val="center"/>
          </w:tcPr>
          <w:p w14:paraId="0492F928" w14:textId="77777777" w:rsidR="003101CC" w:rsidRPr="001F1765" w:rsidRDefault="00206481" w:rsidP="00F3037E">
            <w:pPr>
              <w:pStyle w:val="REG-P0"/>
              <w:jc w:val="center"/>
              <w:rPr>
                <w:b/>
                <w:sz w:val="20"/>
                <w:szCs w:val="20"/>
              </w:rPr>
            </w:pPr>
            <w:r w:rsidRPr="001F1765">
              <w:rPr>
                <w:b/>
                <w:w w:val="105"/>
                <w:sz w:val="20"/>
                <w:szCs w:val="20"/>
              </w:rPr>
              <w:t>Appropriate percentage</w:t>
            </w:r>
          </w:p>
        </w:tc>
      </w:tr>
      <w:tr w:rsidR="00271040" w14:paraId="7F78C26C" w14:textId="77777777" w:rsidTr="004D3DCA">
        <w:tc>
          <w:tcPr>
            <w:tcW w:w="4243" w:type="dxa"/>
            <w:vMerge/>
            <w:tcBorders>
              <w:top w:val="nil"/>
            </w:tcBorders>
            <w:vAlign w:val="center"/>
          </w:tcPr>
          <w:p w14:paraId="18DA19C1" w14:textId="77777777" w:rsidR="003101CC" w:rsidRPr="001F1765" w:rsidRDefault="003101CC" w:rsidP="00F3037E">
            <w:pPr>
              <w:pStyle w:val="REG-P0"/>
              <w:jc w:val="center"/>
              <w:rPr>
                <w:sz w:val="20"/>
                <w:szCs w:val="20"/>
              </w:rPr>
            </w:pPr>
          </w:p>
        </w:tc>
        <w:tc>
          <w:tcPr>
            <w:tcW w:w="1417" w:type="dxa"/>
            <w:tcBorders>
              <w:top w:val="single" w:sz="4" w:space="0" w:color="000000"/>
              <w:bottom w:val="single" w:sz="4" w:space="0" w:color="000000"/>
              <w:right w:val="single" w:sz="4" w:space="0" w:color="000000"/>
            </w:tcBorders>
            <w:vAlign w:val="center"/>
          </w:tcPr>
          <w:p w14:paraId="021AB438" w14:textId="77777777" w:rsidR="003101CC" w:rsidRPr="001F1765" w:rsidRDefault="00206481" w:rsidP="00F3037E">
            <w:pPr>
              <w:pStyle w:val="REG-P0"/>
              <w:jc w:val="center"/>
              <w:rPr>
                <w:sz w:val="20"/>
                <w:szCs w:val="20"/>
              </w:rPr>
            </w:pPr>
            <w:r w:rsidRPr="001F1765">
              <w:rPr>
                <w:w w:val="105"/>
                <w:sz w:val="20"/>
                <w:szCs w:val="20"/>
              </w:rPr>
              <w:t>Contracts with bills of quantities, provisional quantities or schedule of</w:t>
            </w:r>
          </w:p>
          <w:p w14:paraId="5580772C" w14:textId="77777777" w:rsidR="003101CC" w:rsidRPr="001F1765" w:rsidRDefault="00206481" w:rsidP="00F3037E">
            <w:pPr>
              <w:pStyle w:val="REG-P0"/>
              <w:jc w:val="center"/>
              <w:rPr>
                <w:sz w:val="20"/>
                <w:szCs w:val="20"/>
              </w:rPr>
            </w:pPr>
            <w:r w:rsidRPr="001F1765">
              <w:rPr>
                <w:w w:val="105"/>
                <w:sz w:val="20"/>
                <w:szCs w:val="20"/>
              </w:rPr>
              <w:t>rates</w:t>
            </w:r>
          </w:p>
        </w:tc>
        <w:tc>
          <w:tcPr>
            <w:tcW w:w="1134" w:type="dxa"/>
            <w:tcBorders>
              <w:top w:val="single" w:sz="4" w:space="0" w:color="000000"/>
              <w:left w:val="single" w:sz="4" w:space="0" w:color="000000"/>
              <w:bottom w:val="single" w:sz="4" w:space="0" w:color="000000"/>
              <w:right w:val="single" w:sz="4" w:space="0" w:color="000000"/>
            </w:tcBorders>
            <w:vAlign w:val="center"/>
          </w:tcPr>
          <w:p w14:paraId="3C68C0FB" w14:textId="77777777" w:rsidR="003101CC" w:rsidRPr="001F1765" w:rsidRDefault="00206481" w:rsidP="00F3037E">
            <w:pPr>
              <w:pStyle w:val="REG-P0"/>
              <w:jc w:val="center"/>
              <w:rPr>
                <w:sz w:val="20"/>
                <w:szCs w:val="20"/>
              </w:rPr>
            </w:pPr>
            <w:r w:rsidRPr="001F1765">
              <w:rPr>
                <w:w w:val="105"/>
                <w:sz w:val="20"/>
                <w:szCs w:val="20"/>
              </w:rPr>
              <w:t>Contracts without bills of quantities</w:t>
            </w:r>
          </w:p>
        </w:tc>
        <w:tc>
          <w:tcPr>
            <w:tcW w:w="993" w:type="dxa"/>
            <w:tcBorders>
              <w:top w:val="single" w:sz="4" w:space="0" w:color="000000"/>
              <w:left w:val="single" w:sz="4" w:space="0" w:color="000000"/>
              <w:bottom w:val="single" w:sz="4" w:space="0" w:color="000000"/>
            </w:tcBorders>
            <w:vAlign w:val="center"/>
          </w:tcPr>
          <w:p w14:paraId="19C0408B" w14:textId="77777777" w:rsidR="003101CC" w:rsidRPr="001F1765" w:rsidRDefault="00206481" w:rsidP="00F3037E">
            <w:pPr>
              <w:pStyle w:val="REG-P0"/>
              <w:jc w:val="center"/>
              <w:rPr>
                <w:sz w:val="20"/>
                <w:szCs w:val="20"/>
              </w:rPr>
            </w:pPr>
            <w:r w:rsidRPr="001F1765">
              <w:rPr>
                <w:w w:val="105"/>
                <w:sz w:val="20"/>
                <w:szCs w:val="20"/>
              </w:rPr>
              <w:t>Cost-plus contracts</w:t>
            </w:r>
          </w:p>
        </w:tc>
      </w:tr>
      <w:tr w:rsidR="00271040" w14:paraId="49B69B73" w14:textId="77777777" w:rsidTr="004D3DCA">
        <w:tc>
          <w:tcPr>
            <w:tcW w:w="4243" w:type="dxa"/>
            <w:vAlign w:val="center"/>
          </w:tcPr>
          <w:p w14:paraId="56C7B6B3" w14:textId="77777777" w:rsidR="003101CC" w:rsidRPr="00D05A56" w:rsidRDefault="00206481" w:rsidP="00F3037E">
            <w:pPr>
              <w:pStyle w:val="REG-P0"/>
              <w:jc w:val="center"/>
              <w:rPr>
                <w:sz w:val="20"/>
                <w:szCs w:val="20"/>
              </w:rPr>
            </w:pPr>
            <w:r w:rsidRPr="00D05A56">
              <w:rPr>
                <w:sz w:val="20"/>
                <w:szCs w:val="20"/>
              </w:rPr>
              <w:t>1</w:t>
            </w:r>
          </w:p>
        </w:tc>
        <w:tc>
          <w:tcPr>
            <w:tcW w:w="1417" w:type="dxa"/>
            <w:tcBorders>
              <w:top w:val="single" w:sz="4" w:space="0" w:color="000000"/>
              <w:bottom w:val="single" w:sz="4" w:space="0" w:color="000000"/>
              <w:right w:val="single" w:sz="4" w:space="0" w:color="000000"/>
            </w:tcBorders>
            <w:vAlign w:val="center"/>
          </w:tcPr>
          <w:p w14:paraId="46B8C878" w14:textId="77777777" w:rsidR="003101CC" w:rsidRPr="001F1765" w:rsidRDefault="00206481" w:rsidP="00F3037E">
            <w:pPr>
              <w:pStyle w:val="REG-P0"/>
              <w:jc w:val="center"/>
              <w:rPr>
                <w:sz w:val="20"/>
                <w:szCs w:val="20"/>
              </w:rPr>
            </w:pPr>
            <w:r w:rsidRPr="001F1765">
              <w:rPr>
                <w:w w:val="109"/>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9EF7C76" w14:textId="77777777" w:rsidR="003101CC" w:rsidRPr="001F1765" w:rsidRDefault="00206481" w:rsidP="00F3037E">
            <w:pPr>
              <w:pStyle w:val="REG-P0"/>
              <w:jc w:val="center"/>
              <w:rPr>
                <w:sz w:val="20"/>
                <w:szCs w:val="20"/>
              </w:rPr>
            </w:pPr>
            <w:r w:rsidRPr="001F1765">
              <w:rPr>
                <w:w w:val="95"/>
                <w:sz w:val="20"/>
                <w:szCs w:val="20"/>
              </w:rPr>
              <w:t>3</w:t>
            </w:r>
          </w:p>
        </w:tc>
        <w:tc>
          <w:tcPr>
            <w:tcW w:w="993" w:type="dxa"/>
            <w:tcBorders>
              <w:top w:val="single" w:sz="4" w:space="0" w:color="000000"/>
              <w:left w:val="single" w:sz="4" w:space="0" w:color="000000"/>
              <w:bottom w:val="single" w:sz="4" w:space="0" w:color="000000"/>
            </w:tcBorders>
            <w:vAlign w:val="center"/>
          </w:tcPr>
          <w:p w14:paraId="33867EAE" w14:textId="77777777" w:rsidR="003101CC" w:rsidRPr="001F1765" w:rsidRDefault="00206481" w:rsidP="00F3037E">
            <w:pPr>
              <w:pStyle w:val="REG-P0"/>
              <w:jc w:val="center"/>
              <w:rPr>
                <w:sz w:val="20"/>
                <w:szCs w:val="20"/>
              </w:rPr>
            </w:pPr>
            <w:r w:rsidRPr="001F1765">
              <w:rPr>
                <w:w w:val="95"/>
                <w:sz w:val="20"/>
                <w:szCs w:val="20"/>
              </w:rPr>
              <w:t>4</w:t>
            </w:r>
          </w:p>
        </w:tc>
      </w:tr>
      <w:tr w:rsidR="00271040" w14:paraId="0D8BC44C" w14:textId="77777777" w:rsidTr="004D3DCA">
        <w:tc>
          <w:tcPr>
            <w:tcW w:w="4243" w:type="dxa"/>
            <w:tcBorders>
              <w:bottom w:val="nil"/>
            </w:tcBorders>
            <w:vAlign w:val="center"/>
          </w:tcPr>
          <w:p w14:paraId="7D765421" w14:textId="77777777" w:rsidR="003101CC" w:rsidRPr="001F1765" w:rsidRDefault="00206481" w:rsidP="00F3037E">
            <w:pPr>
              <w:pStyle w:val="REG-P0"/>
              <w:jc w:val="left"/>
              <w:rPr>
                <w:b/>
                <w:sz w:val="20"/>
                <w:szCs w:val="20"/>
              </w:rPr>
            </w:pPr>
            <w:r w:rsidRPr="001F1765">
              <w:rPr>
                <w:b/>
                <w:w w:val="105"/>
                <w:sz w:val="20"/>
                <w:szCs w:val="20"/>
              </w:rPr>
              <w:t>Alteration works</w:t>
            </w:r>
          </w:p>
        </w:tc>
        <w:tc>
          <w:tcPr>
            <w:tcW w:w="1417" w:type="dxa"/>
            <w:tcBorders>
              <w:top w:val="single" w:sz="4" w:space="0" w:color="000000"/>
              <w:bottom w:val="nil"/>
              <w:right w:val="single" w:sz="4" w:space="0" w:color="auto"/>
            </w:tcBorders>
          </w:tcPr>
          <w:p w14:paraId="3F866F86" w14:textId="77777777" w:rsidR="003101CC" w:rsidRPr="001F1765" w:rsidRDefault="00206481" w:rsidP="006B1FEA">
            <w:pPr>
              <w:pStyle w:val="REG-P0"/>
              <w:jc w:val="center"/>
              <w:rPr>
                <w:sz w:val="20"/>
                <w:szCs w:val="20"/>
              </w:rPr>
            </w:pPr>
            <w:r w:rsidRPr="001F1765">
              <w:rPr>
                <w:w w:val="90"/>
                <w:sz w:val="20"/>
                <w:szCs w:val="20"/>
              </w:rPr>
              <w:t>150</w:t>
            </w:r>
          </w:p>
        </w:tc>
        <w:tc>
          <w:tcPr>
            <w:tcW w:w="1134" w:type="dxa"/>
            <w:tcBorders>
              <w:top w:val="single" w:sz="4" w:space="0" w:color="000000"/>
              <w:left w:val="single" w:sz="4" w:space="0" w:color="auto"/>
              <w:bottom w:val="nil"/>
              <w:right w:val="single" w:sz="4" w:space="0" w:color="auto"/>
            </w:tcBorders>
          </w:tcPr>
          <w:p w14:paraId="23713322" w14:textId="77777777" w:rsidR="003101CC" w:rsidRPr="001F1765" w:rsidRDefault="00206481" w:rsidP="006B1FEA">
            <w:pPr>
              <w:pStyle w:val="REG-P0"/>
              <w:jc w:val="center"/>
              <w:rPr>
                <w:sz w:val="20"/>
                <w:szCs w:val="20"/>
              </w:rPr>
            </w:pPr>
            <w:r w:rsidRPr="001F1765">
              <w:rPr>
                <w:w w:val="95"/>
                <w:sz w:val="20"/>
                <w:szCs w:val="20"/>
              </w:rPr>
              <w:t>75</w:t>
            </w:r>
          </w:p>
        </w:tc>
        <w:tc>
          <w:tcPr>
            <w:tcW w:w="993" w:type="dxa"/>
            <w:tcBorders>
              <w:top w:val="single" w:sz="4" w:space="0" w:color="000000"/>
              <w:left w:val="single" w:sz="4" w:space="0" w:color="auto"/>
              <w:bottom w:val="nil"/>
            </w:tcBorders>
          </w:tcPr>
          <w:p w14:paraId="48C375D2" w14:textId="77777777" w:rsidR="003101CC" w:rsidRPr="001F1765" w:rsidRDefault="00206481" w:rsidP="006B1FEA">
            <w:pPr>
              <w:pStyle w:val="REG-P0"/>
              <w:jc w:val="center"/>
              <w:rPr>
                <w:sz w:val="20"/>
                <w:szCs w:val="20"/>
              </w:rPr>
            </w:pPr>
            <w:r w:rsidRPr="001F1765">
              <w:rPr>
                <w:sz w:val="20"/>
                <w:szCs w:val="20"/>
              </w:rPr>
              <w:t>80</w:t>
            </w:r>
          </w:p>
        </w:tc>
      </w:tr>
      <w:tr w:rsidR="00271040" w14:paraId="7930E714" w14:textId="77777777" w:rsidTr="004D3DCA">
        <w:tc>
          <w:tcPr>
            <w:tcW w:w="4243" w:type="dxa"/>
            <w:tcBorders>
              <w:top w:val="nil"/>
              <w:bottom w:val="nil"/>
            </w:tcBorders>
            <w:vAlign w:val="center"/>
          </w:tcPr>
          <w:p w14:paraId="45F64444" w14:textId="77777777" w:rsidR="003101CC" w:rsidRPr="001F1765" w:rsidRDefault="00206481" w:rsidP="00F3037E">
            <w:pPr>
              <w:pStyle w:val="REG-P0"/>
              <w:jc w:val="left"/>
              <w:rPr>
                <w:b/>
                <w:sz w:val="20"/>
                <w:szCs w:val="20"/>
              </w:rPr>
            </w:pPr>
            <w:r w:rsidRPr="001F1765">
              <w:rPr>
                <w:b/>
                <w:w w:val="105"/>
                <w:sz w:val="20"/>
                <w:szCs w:val="20"/>
              </w:rPr>
              <w:t>Building works</w:t>
            </w:r>
          </w:p>
        </w:tc>
        <w:tc>
          <w:tcPr>
            <w:tcW w:w="1417" w:type="dxa"/>
            <w:tcBorders>
              <w:top w:val="nil"/>
              <w:bottom w:val="nil"/>
              <w:right w:val="single" w:sz="4" w:space="0" w:color="auto"/>
            </w:tcBorders>
          </w:tcPr>
          <w:p w14:paraId="13A5C870" w14:textId="77777777" w:rsidR="003101CC" w:rsidRPr="001F1765" w:rsidRDefault="00206481" w:rsidP="006B1FEA">
            <w:pPr>
              <w:pStyle w:val="REG-P0"/>
              <w:jc w:val="center"/>
              <w:rPr>
                <w:sz w:val="20"/>
                <w:szCs w:val="20"/>
              </w:rPr>
            </w:pPr>
            <w:r w:rsidRPr="001F1765">
              <w:rPr>
                <w:w w:val="90"/>
                <w:sz w:val="20"/>
                <w:szCs w:val="20"/>
              </w:rPr>
              <w:t>100</w:t>
            </w:r>
          </w:p>
        </w:tc>
        <w:tc>
          <w:tcPr>
            <w:tcW w:w="1134" w:type="dxa"/>
            <w:tcBorders>
              <w:top w:val="nil"/>
              <w:left w:val="single" w:sz="4" w:space="0" w:color="auto"/>
              <w:bottom w:val="nil"/>
              <w:right w:val="single" w:sz="4" w:space="0" w:color="auto"/>
            </w:tcBorders>
          </w:tcPr>
          <w:p w14:paraId="5A071B18" w14:textId="77777777" w:rsidR="003101CC" w:rsidRPr="001F1765" w:rsidRDefault="00206481" w:rsidP="006B1FEA">
            <w:pPr>
              <w:pStyle w:val="REG-P0"/>
              <w:jc w:val="center"/>
              <w:rPr>
                <w:sz w:val="20"/>
                <w:szCs w:val="20"/>
              </w:rPr>
            </w:pPr>
            <w:r w:rsidRPr="001F1765">
              <w:rPr>
                <w:sz w:val="20"/>
                <w:szCs w:val="20"/>
              </w:rPr>
              <w:t>65</w:t>
            </w:r>
          </w:p>
        </w:tc>
        <w:tc>
          <w:tcPr>
            <w:tcW w:w="993" w:type="dxa"/>
            <w:tcBorders>
              <w:top w:val="nil"/>
              <w:left w:val="single" w:sz="4" w:space="0" w:color="auto"/>
              <w:bottom w:val="nil"/>
            </w:tcBorders>
          </w:tcPr>
          <w:p w14:paraId="5DA76094" w14:textId="77777777" w:rsidR="003101CC" w:rsidRPr="001F1765" w:rsidRDefault="00206481" w:rsidP="006B1FEA">
            <w:pPr>
              <w:pStyle w:val="REG-P0"/>
              <w:jc w:val="center"/>
              <w:rPr>
                <w:sz w:val="20"/>
                <w:szCs w:val="20"/>
              </w:rPr>
            </w:pPr>
            <w:r w:rsidRPr="001F1765">
              <w:rPr>
                <w:sz w:val="20"/>
                <w:szCs w:val="20"/>
              </w:rPr>
              <w:t>70</w:t>
            </w:r>
          </w:p>
        </w:tc>
      </w:tr>
      <w:tr w:rsidR="00271040" w14:paraId="4892AF6F" w14:textId="77777777" w:rsidTr="004D3DCA">
        <w:tc>
          <w:tcPr>
            <w:tcW w:w="4243" w:type="dxa"/>
            <w:tcBorders>
              <w:top w:val="nil"/>
              <w:bottom w:val="nil"/>
            </w:tcBorders>
            <w:vAlign w:val="center"/>
          </w:tcPr>
          <w:p w14:paraId="641DD7E2" w14:textId="77777777" w:rsidR="003101CC" w:rsidRPr="001F1765" w:rsidRDefault="00206481" w:rsidP="00F3037E">
            <w:pPr>
              <w:pStyle w:val="REG-P0"/>
              <w:jc w:val="left"/>
              <w:rPr>
                <w:sz w:val="20"/>
                <w:szCs w:val="20"/>
              </w:rPr>
            </w:pPr>
            <w:r w:rsidRPr="001F1765">
              <w:rPr>
                <w:b/>
                <w:sz w:val="20"/>
                <w:szCs w:val="20"/>
              </w:rPr>
              <w:t xml:space="preserve">Civil engineering works: </w:t>
            </w:r>
            <w:r w:rsidRPr="001F1765">
              <w:rPr>
                <w:sz w:val="20"/>
                <w:szCs w:val="20"/>
              </w:rPr>
              <w:t>Category I</w:t>
            </w:r>
          </w:p>
        </w:tc>
        <w:tc>
          <w:tcPr>
            <w:tcW w:w="1417" w:type="dxa"/>
            <w:tcBorders>
              <w:top w:val="nil"/>
              <w:bottom w:val="nil"/>
              <w:right w:val="single" w:sz="4" w:space="0" w:color="auto"/>
            </w:tcBorders>
          </w:tcPr>
          <w:p w14:paraId="67EFEF69" w14:textId="77777777" w:rsidR="003101CC" w:rsidRPr="001F1765" w:rsidRDefault="00206481" w:rsidP="006B1FEA">
            <w:pPr>
              <w:pStyle w:val="REG-P0"/>
              <w:jc w:val="center"/>
              <w:rPr>
                <w:sz w:val="20"/>
                <w:szCs w:val="20"/>
              </w:rPr>
            </w:pPr>
            <w:r w:rsidRPr="001F1765">
              <w:rPr>
                <w:w w:val="95"/>
                <w:sz w:val="20"/>
                <w:szCs w:val="20"/>
              </w:rPr>
              <w:t>55</w:t>
            </w:r>
          </w:p>
        </w:tc>
        <w:tc>
          <w:tcPr>
            <w:tcW w:w="1134" w:type="dxa"/>
            <w:tcBorders>
              <w:top w:val="nil"/>
              <w:left w:val="single" w:sz="4" w:space="0" w:color="auto"/>
              <w:bottom w:val="nil"/>
              <w:right w:val="single" w:sz="4" w:space="0" w:color="auto"/>
            </w:tcBorders>
          </w:tcPr>
          <w:p w14:paraId="7AC08813" w14:textId="77777777" w:rsidR="003101CC" w:rsidRPr="001F1765" w:rsidRDefault="00206481" w:rsidP="006B1FEA">
            <w:pPr>
              <w:pStyle w:val="REG-P0"/>
              <w:jc w:val="center"/>
              <w:rPr>
                <w:sz w:val="20"/>
                <w:szCs w:val="20"/>
              </w:rPr>
            </w:pPr>
            <w:r w:rsidRPr="001F1765">
              <w:rPr>
                <w:sz w:val="20"/>
                <w:szCs w:val="20"/>
              </w:rPr>
              <w:t>45</w:t>
            </w:r>
          </w:p>
        </w:tc>
        <w:tc>
          <w:tcPr>
            <w:tcW w:w="993" w:type="dxa"/>
            <w:tcBorders>
              <w:top w:val="nil"/>
              <w:left w:val="single" w:sz="4" w:space="0" w:color="auto"/>
              <w:bottom w:val="nil"/>
            </w:tcBorders>
          </w:tcPr>
          <w:p w14:paraId="4731478C" w14:textId="77777777" w:rsidR="003101CC" w:rsidRPr="001F1765" w:rsidRDefault="00206481" w:rsidP="006B1FEA">
            <w:pPr>
              <w:pStyle w:val="REG-P0"/>
              <w:jc w:val="center"/>
              <w:rPr>
                <w:sz w:val="20"/>
                <w:szCs w:val="20"/>
              </w:rPr>
            </w:pPr>
            <w:r w:rsidRPr="001F1765">
              <w:rPr>
                <w:w w:val="95"/>
                <w:sz w:val="20"/>
                <w:szCs w:val="20"/>
              </w:rPr>
              <w:t>55</w:t>
            </w:r>
          </w:p>
        </w:tc>
      </w:tr>
      <w:tr w:rsidR="00271040" w14:paraId="1CEE2413" w14:textId="77777777" w:rsidTr="004D3DCA">
        <w:tc>
          <w:tcPr>
            <w:tcW w:w="4243" w:type="dxa"/>
            <w:tcBorders>
              <w:top w:val="nil"/>
              <w:bottom w:val="nil"/>
            </w:tcBorders>
            <w:vAlign w:val="center"/>
          </w:tcPr>
          <w:p w14:paraId="3E610C8B" w14:textId="77777777" w:rsidR="003101CC" w:rsidRPr="001F1765" w:rsidRDefault="00206481" w:rsidP="00F3037E">
            <w:pPr>
              <w:pStyle w:val="REG-P0"/>
              <w:jc w:val="left"/>
              <w:rPr>
                <w:sz w:val="20"/>
                <w:szCs w:val="20"/>
              </w:rPr>
            </w:pPr>
            <w:r w:rsidRPr="001F1765">
              <w:rPr>
                <w:b/>
                <w:sz w:val="20"/>
                <w:szCs w:val="20"/>
              </w:rPr>
              <w:t xml:space="preserve">Civil engineering works: </w:t>
            </w:r>
            <w:r w:rsidRPr="001F1765">
              <w:rPr>
                <w:sz w:val="20"/>
                <w:szCs w:val="20"/>
              </w:rPr>
              <w:t>Category II</w:t>
            </w:r>
          </w:p>
        </w:tc>
        <w:tc>
          <w:tcPr>
            <w:tcW w:w="1417" w:type="dxa"/>
            <w:tcBorders>
              <w:top w:val="nil"/>
              <w:bottom w:val="nil"/>
              <w:right w:val="single" w:sz="4" w:space="0" w:color="auto"/>
            </w:tcBorders>
          </w:tcPr>
          <w:p w14:paraId="2C2AF475" w14:textId="77777777" w:rsidR="003101CC" w:rsidRPr="001F1765" w:rsidRDefault="00206481" w:rsidP="006B1FEA">
            <w:pPr>
              <w:pStyle w:val="REG-P0"/>
              <w:jc w:val="center"/>
              <w:rPr>
                <w:sz w:val="20"/>
                <w:szCs w:val="20"/>
              </w:rPr>
            </w:pPr>
            <w:r w:rsidRPr="001F1765">
              <w:rPr>
                <w:sz w:val="20"/>
                <w:szCs w:val="20"/>
              </w:rPr>
              <w:t>70</w:t>
            </w:r>
          </w:p>
        </w:tc>
        <w:tc>
          <w:tcPr>
            <w:tcW w:w="1134" w:type="dxa"/>
            <w:tcBorders>
              <w:top w:val="nil"/>
              <w:left w:val="single" w:sz="4" w:space="0" w:color="auto"/>
              <w:bottom w:val="nil"/>
              <w:right w:val="single" w:sz="4" w:space="0" w:color="auto"/>
            </w:tcBorders>
          </w:tcPr>
          <w:p w14:paraId="06F0FCAE" w14:textId="77777777" w:rsidR="003101CC" w:rsidRPr="001F1765" w:rsidRDefault="00206481" w:rsidP="006B1FEA">
            <w:pPr>
              <w:pStyle w:val="REG-P0"/>
              <w:jc w:val="center"/>
              <w:rPr>
                <w:sz w:val="20"/>
                <w:szCs w:val="20"/>
              </w:rPr>
            </w:pPr>
            <w:r w:rsidRPr="001F1765">
              <w:rPr>
                <w:sz w:val="20"/>
                <w:szCs w:val="20"/>
              </w:rPr>
              <w:t>45</w:t>
            </w:r>
          </w:p>
        </w:tc>
        <w:tc>
          <w:tcPr>
            <w:tcW w:w="993" w:type="dxa"/>
            <w:tcBorders>
              <w:top w:val="nil"/>
              <w:left w:val="single" w:sz="4" w:space="0" w:color="auto"/>
              <w:bottom w:val="nil"/>
            </w:tcBorders>
          </w:tcPr>
          <w:p w14:paraId="661A6052" w14:textId="77777777" w:rsidR="003101CC" w:rsidRPr="001F1765" w:rsidRDefault="00206481" w:rsidP="006B1FEA">
            <w:pPr>
              <w:pStyle w:val="REG-P0"/>
              <w:jc w:val="center"/>
              <w:rPr>
                <w:sz w:val="20"/>
                <w:szCs w:val="20"/>
              </w:rPr>
            </w:pPr>
            <w:r w:rsidRPr="001F1765">
              <w:rPr>
                <w:w w:val="95"/>
                <w:sz w:val="20"/>
                <w:szCs w:val="20"/>
              </w:rPr>
              <w:t>55</w:t>
            </w:r>
          </w:p>
        </w:tc>
      </w:tr>
      <w:tr w:rsidR="00271040" w14:paraId="1A518B7A" w14:textId="77777777" w:rsidTr="004D3DCA">
        <w:tc>
          <w:tcPr>
            <w:tcW w:w="4243" w:type="dxa"/>
            <w:tcBorders>
              <w:top w:val="nil"/>
              <w:bottom w:val="nil"/>
            </w:tcBorders>
            <w:vAlign w:val="center"/>
          </w:tcPr>
          <w:p w14:paraId="76EAB129" w14:textId="77777777" w:rsidR="003101CC" w:rsidRPr="001F1765" w:rsidRDefault="00206481" w:rsidP="00F3037E">
            <w:pPr>
              <w:pStyle w:val="REG-P0"/>
              <w:jc w:val="left"/>
              <w:rPr>
                <w:b/>
                <w:sz w:val="20"/>
                <w:szCs w:val="20"/>
              </w:rPr>
            </w:pPr>
            <w:r w:rsidRPr="001F1765">
              <w:rPr>
                <w:b/>
                <w:sz w:val="20"/>
                <w:szCs w:val="20"/>
              </w:rPr>
              <w:t>Electrical engineering works</w:t>
            </w:r>
          </w:p>
        </w:tc>
        <w:tc>
          <w:tcPr>
            <w:tcW w:w="1417" w:type="dxa"/>
            <w:tcBorders>
              <w:top w:val="nil"/>
              <w:bottom w:val="nil"/>
              <w:right w:val="single" w:sz="4" w:space="0" w:color="auto"/>
            </w:tcBorders>
          </w:tcPr>
          <w:p w14:paraId="249B5DF1" w14:textId="77777777" w:rsidR="003101CC" w:rsidRPr="001F1765" w:rsidRDefault="00206481" w:rsidP="006B1FEA">
            <w:pPr>
              <w:pStyle w:val="REG-P0"/>
              <w:jc w:val="center"/>
              <w:rPr>
                <w:sz w:val="20"/>
                <w:szCs w:val="20"/>
              </w:rPr>
            </w:pPr>
            <w:r w:rsidRPr="001F1765">
              <w:rPr>
                <w:sz w:val="20"/>
                <w:szCs w:val="20"/>
              </w:rPr>
              <w:t>70</w:t>
            </w:r>
          </w:p>
        </w:tc>
        <w:tc>
          <w:tcPr>
            <w:tcW w:w="1134" w:type="dxa"/>
            <w:tcBorders>
              <w:top w:val="nil"/>
              <w:left w:val="single" w:sz="4" w:space="0" w:color="auto"/>
              <w:bottom w:val="nil"/>
              <w:right w:val="single" w:sz="4" w:space="0" w:color="auto"/>
            </w:tcBorders>
          </w:tcPr>
          <w:p w14:paraId="776FBDB0" w14:textId="77777777" w:rsidR="003101CC" w:rsidRPr="001F1765" w:rsidRDefault="00206481" w:rsidP="006B1FEA">
            <w:pPr>
              <w:pStyle w:val="REG-P0"/>
              <w:jc w:val="center"/>
              <w:rPr>
                <w:sz w:val="20"/>
                <w:szCs w:val="20"/>
              </w:rPr>
            </w:pPr>
            <w:r w:rsidRPr="001F1765">
              <w:rPr>
                <w:sz w:val="20"/>
                <w:szCs w:val="20"/>
              </w:rPr>
              <w:t>45</w:t>
            </w:r>
          </w:p>
        </w:tc>
        <w:tc>
          <w:tcPr>
            <w:tcW w:w="993" w:type="dxa"/>
            <w:tcBorders>
              <w:top w:val="nil"/>
              <w:left w:val="single" w:sz="4" w:space="0" w:color="auto"/>
              <w:bottom w:val="nil"/>
            </w:tcBorders>
          </w:tcPr>
          <w:p w14:paraId="14CD12A9" w14:textId="77777777" w:rsidR="003101CC" w:rsidRPr="001F1765" w:rsidRDefault="00206481" w:rsidP="006B1FEA">
            <w:pPr>
              <w:pStyle w:val="REG-P0"/>
              <w:jc w:val="center"/>
              <w:rPr>
                <w:sz w:val="20"/>
                <w:szCs w:val="20"/>
              </w:rPr>
            </w:pPr>
            <w:r w:rsidRPr="001F1765">
              <w:rPr>
                <w:w w:val="95"/>
                <w:sz w:val="20"/>
                <w:szCs w:val="20"/>
              </w:rPr>
              <w:t>55</w:t>
            </w:r>
          </w:p>
        </w:tc>
      </w:tr>
      <w:tr w:rsidR="00271040" w14:paraId="5B120631" w14:textId="77777777" w:rsidTr="004D3DCA">
        <w:tc>
          <w:tcPr>
            <w:tcW w:w="4243" w:type="dxa"/>
            <w:tcBorders>
              <w:top w:val="nil"/>
              <w:bottom w:val="nil"/>
            </w:tcBorders>
            <w:vAlign w:val="center"/>
          </w:tcPr>
          <w:p w14:paraId="456095FF" w14:textId="77777777" w:rsidR="003101CC" w:rsidRPr="001F1765" w:rsidRDefault="00206481" w:rsidP="00F3037E">
            <w:pPr>
              <w:pStyle w:val="REG-P0"/>
              <w:jc w:val="left"/>
              <w:rPr>
                <w:b/>
                <w:sz w:val="20"/>
                <w:szCs w:val="20"/>
              </w:rPr>
            </w:pPr>
            <w:r w:rsidRPr="001F1765">
              <w:rPr>
                <w:b/>
                <w:w w:val="105"/>
                <w:sz w:val="20"/>
                <w:szCs w:val="20"/>
              </w:rPr>
              <w:t>Industrialised building works</w:t>
            </w:r>
          </w:p>
        </w:tc>
        <w:tc>
          <w:tcPr>
            <w:tcW w:w="1417" w:type="dxa"/>
            <w:tcBorders>
              <w:top w:val="nil"/>
              <w:bottom w:val="nil"/>
              <w:right w:val="single" w:sz="4" w:space="0" w:color="auto"/>
            </w:tcBorders>
          </w:tcPr>
          <w:p w14:paraId="256726D6" w14:textId="77777777" w:rsidR="003101CC" w:rsidRPr="001F1765" w:rsidRDefault="00206481" w:rsidP="006B1FEA">
            <w:pPr>
              <w:pStyle w:val="REG-P0"/>
              <w:jc w:val="center"/>
              <w:rPr>
                <w:sz w:val="20"/>
                <w:szCs w:val="20"/>
              </w:rPr>
            </w:pPr>
            <w:r w:rsidRPr="001F1765">
              <w:rPr>
                <w:sz w:val="20"/>
                <w:szCs w:val="20"/>
              </w:rPr>
              <w:t>70</w:t>
            </w:r>
          </w:p>
        </w:tc>
        <w:tc>
          <w:tcPr>
            <w:tcW w:w="1134" w:type="dxa"/>
            <w:tcBorders>
              <w:top w:val="nil"/>
              <w:left w:val="single" w:sz="4" w:space="0" w:color="auto"/>
              <w:bottom w:val="nil"/>
              <w:right w:val="single" w:sz="4" w:space="0" w:color="auto"/>
            </w:tcBorders>
          </w:tcPr>
          <w:p w14:paraId="0149B95C" w14:textId="77777777" w:rsidR="003101CC" w:rsidRPr="001F1765" w:rsidRDefault="00206481" w:rsidP="006B1FEA">
            <w:pPr>
              <w:pStyle w:val="REG-P0"/>
              <w:jc w:val="center"/>
              <w:rPr>
                <w:sz w:val="20"/>
                <w:szCs w:val="20"/>
              </w:rPr>
            </w:pPr>
            <w:r w:rsidRPr="001F1765">
              <w:rPr>
                <w:sz w:val="20"/>
                <w:szCs w:val="20"/>
              </w:rPr>
              <w:t>60</w:t>
            </w:r>
          </w:p>
        </w:tc>
        <w:tc>
          <w:tcPr>
            <w:tcW w:w="993" w:type="dxa"/>
            <w:tcBorders>
              <w:top w:val="nil"/>
              <w:left w:val="single" w:sz="4" w:space="0" w:color="auto"/>
              <w:bottom w:val="nil"/>
            </w:tcBorders>
          </w:tcPr>
          <w:p w14:paraId="0458BB31" w14:textId="77777777" w:rsidR="003101CC" w:rsidRPr="001F1765" w:rsidRDefault="00206481" w:rsidP="006B1FEA">
            <w:pPr>
              <w:pStyle w:val="REG-P0"/>
              <w:jc w:val="center"/>
              <w:rPr>
                <w:sz w:val="20"/>
                <w:szCs w:val="20"/>
              </w:rPr>
            </w:pPr>
            <w:r w:rsidRPr="001F1765">
              <w:rPr>
                <w:sz w:val="20"/>
                <w:szCs w:val="20"/>
              </w:rPr>
              <w:t>65</w:t>
            </w:r>
          </w:p>
        </w:tc>
      </w:tr>
      <w:tr w:rsidR="00271040" w14:paraId="4DA1499A" w14:textId="77777777" w:rsidTr="004D3DCA">
        <w:tc>
          <w:tcPr>
            <w:tcW w:w="4243" w:type="dxa"/>
            <w:tcBorders>
              <w:top w:val="nil"/>
              <w:bottom w:val="nil"/>
              <w:right w:val="single" w:sz="8" w:space="0" w:color="auto"/>
            </w:tcBorders>
            <w:vAlign w:val="center"/>
          </w:tcPr>
          <w:p w14:paraId="5D845E66" w14:textId="77777777" w:rsidR="003101CC" w:rsidRPr="001F1765" w:rsidRDefault="00206481" w:rsidP="00F3037E">
            <w:pPr>
              <w:pStyle w:val="REG-P0"/>
              <w:jc w:val="left"/>
              <w:rPr>
                <w:b/>
                <w:sz w:val="20"/>
                <w:szCs w:val="20"/>
              </w:rPr>
            </w:pPr>
            <w:r w:rsidRPr="001F1765">
              <w:rPr>
                <w:b/>
                <w:w w:val="105"/>
                <w:sz w:val="20"/>
                <w:szCs w:val="20"/>
              </w:rPr>
              <w:t>Mechanical engineering works</w:t>
            </w:r>
          </w:p>
        </w:tc>
        <w:tc>
          <w:tcPr>
            <w:tcW w:w="1417" w:type="dxa"/>
            <w:tcBorders>
              <w:top w:val="nil"/>
              <w:left w:val="single" w:sz="8" w:space="0" w:color="auto"/>
              <w:bottom w:val="nil"/>
              <w:right w:val="single" w:sz="4" w:space="0" w:color="auto"/>
            </w:tcBorders>
          </w:tcPr>
          <w:p w14:paraId="3A264C6B" w14:textId="77777777" w:rsidR="003101CC" w:rsidRPr="001F1765" w:rsidRDefault="00206481" w:rsidP="006B1FEA">
            <w:pPr>
              <w:pStyle w:val="REG-P0"/>
              <w:jc w:val="center"/>
              <w:rPr>
                <w:sz w:val="20"/>
                <w:szCs w:val="20"/>
              </w:rPr>
            </w:pPr>
            <w:r w:rsidRPr="001F1765">
              <w:rPr>
                <w:sz w:val="20"/>
                <w:szCs w:val="20"/>
              </w:rPr>
              <w:t>60</w:t>
            </w:r>
          </w:p>
        </w:tc>
        <w:tc>
          <w:tcPr>
            <w:tcW w:w="1134" w:type="dxa"/>
            <w:tcBorders>
              <w:top w:val="nil"/>
              <w:left w:val="single" w:sz="4" w:space="0" w:color="auto"/>
              <w:bottom w:val="nil"/>
              <w:right w:val="single" w:sz="4" w:space="0" w:color="auto"/>
            </w:tcBorders>
          </w:tcPr>
          <w:p w14:paraId="6A4E64C8" w14:textId="77777777" w:rsidR="003101CC" w:rsidRPr="001F1765" w:rsidRDefault="00206481" w:rsidP="006B1FEA">
            <w:pPr>
              <w:pStyle w:val="REG-P0"/>
              <w:jc w:val="center"/>
              <w:rPr>
                <w:sz w:val="20"/>
                <w:szCs w:val="20"/>
              </w:rPr>
            </w:pPr>
            <w:r w:rsidRPr="001F1765">
              <w:rPr>
                <w:sz w:val="20"/>
                <w:szCs w:val="20"/>
              </w:rPr>
              <w:t>45</w:t>
            </w:r>
          </w:p>
        </w:tc>
        <w:tc>
          <w:tcPr>
            <w:tcW w:w="993" w:type="dxa"/>
            <w:tcBorders>
              <w:top w:val="nil"/>
              <w:left w:val="single" w:sz="4" w:space="0" w:color="auto"/>
              <w:bottom w:val="nil"/>
            </w:tcBorders>
          </w:tcPr>
          <w:p w14:paraId="5C7D4A89" w14:textId="77777777" w:rsidR="003101CC" w:rsidRPr="001F1765" w:rsidRDefault="00206481" w:rsidP="006B1FEA">
            <w:pPr>
              <w:pStyle w:val="REG-P0"/>
              <w:jc w:val="center"/>
              <w:rPr>
                <w:sz w:val="20"/>
                <w:szCs w:val="20"/>
              </w:rPr>
            </w:pPr>
            <w:r w:rsidRPr="001F1765">
              <w:rPr>
                <w:w w:val="95"/>
                <w:sz w:val="20"/>
                <w:szCs w:val="20"/>
              </w:rPr>
              <w:t>55</w:t>
            </w:r>
          </w:p>
        </w:tc>
      </w:tr>
      <w:tr w:rsidR="00271040" w14:paraId="594B04F1" w14:textId="77777777" w:rsidTr="004D3DCA">
        <w:tc>
          <w:tcPr>
            <w:tcW w:w="4243" w:type="dxa"/>
            <w:tcBorders>
              <w:top w:val="nil"/>
              <w:bottom w:val="nil"/>
              <w:right w:val="single" w:sz="8" w:space="0" w:color="auto"/>
            </w:tcBorders>
            <w:vAlign w:val="center"/>
          </w:tcPr>
          <w:p w14:paraId="3F917EFF" w14:textId="77777777" w:rsidR="003101CC" w:rsidRPr="001F1765" w:rsidRDefault="00206481" w:rsidP="00F3037E">
            <w:pPr>
              <w:pStyle w:val="REG-P0"/>
              <w:jc w:val="left"/>
              <w:rPr>
                <w:b/>
                <w:sz w:val="20"/>
                <w:szCs w:val="20"/>
              </w:rPr>
            </w:pPr>
            <w:r w:rsidRPr="001F1765">
              <w:rPr>
                <w:b/>
                <w:sz w:val="20"/>
                <w:szCs w:val="20"/>
              </w:rPr>
              <w:t>Multiple</w:t>
            </w:r>
            <w:r w:rsidRPr="001F1765">
              <w:rPr>
                <w:b/>
                <w:spacing w:val="-37"/>
                <w:sz w:val="20"/>
                <w:szCs w:val="20"/>
              </w:rPr>
              <w:t xml:space="preserve"> </w:t>
            </w:r>
            <w:r w:rsidRPr="001F1765">
              <w:rPr>
                <w:b/>
                <w:sz w:val="20"/>
                <w:szCs w:val="20"/>
              </w:rPr>
              <w:t>procurement</w:t>
            </w:r>
            <w:r w:rsidRPr="001F1765">
              <w:rPr>
                <w:b/>
                <w:spacing w:val="-39"/>
                <w:sz w:val="20"/>
                <w:szCs w:val="20"/>
              </w:rPr>
              <w:t xml:space="preserve"> </w:t>
            </w:r>
            <w:r w:rsidRPr="001F1765">
              <w:rPr>
                <w:b/>
                <w:sz w:val="20"/>
                <w:szCs w:val="20"/>
              </w:rPr>
              <w:t>contract</w:t>
            </w:r>
            <w:r w:rsidRPr="001F1765">
              <w:rPr>
                <w:b/>
                <w:spacing w:val="-39"/>
                <w:sz w:val="20"/>
                <w:szCs w:val="20"/>
              </w:rPr>
              <w:t xml:space="preserve"> </w:t>
            </w:r>
            <w:r w:rsidRPr="001F1765">
              <w:rPr>
                <w:b/>
                <w:sz w:val="20"/>
                <w:szCs w:val="20"/>
              </w:rPr>
              <w:t>building</w:t>
            </w:r>
            <w:r w:rsidRPr="001F1765">
              <w:rPr>
                <w:b/>
                <w:spacing w:val="-37"/>
                <w:sz w:val="20"/>
                <w:szCs w:val="20"/>
              </w:rPr>
              <w:t xml:space="preserve"> </w:t>
            </w:r>
            <w:r w:rsidRPr="001F1765">
              <w:rPr>
                <w:b/>
                <w:sz w:val="20"/>
                <w:szCs w:val="20"/>
              </w:rPr>
              <w:t>works</w:t>
            </w:r>
          </w:p>
        </w:tc>
        <w:tc>
          <w:tcPr>
            <w:tcW w:w="1417" w:type="dxa"/>
            <w:tcBorders>
              <w:top w:val="nil"/>
              <w:left w:val="single" w:sz="8" w:space="0" w:color="auto"/>
              <w:bottom w:val="nil"/>
              <w:right w:val="single" w:sz="4" w:space="0" w:color="auto"/>
            </w:tcBorders>
          </w:tcPr>
          <w:p w14:paraId="4BC1E59C" w14:textId="77777777" w:rsidR="003101CC" w:rsidRPr="001F1765" w:rsidRDefault="00206481" w:rsidP="006B1FEA">
            <w:pPr>
              <w:pStyle w:val="REG-P0"/>
              <w:jc w:val="center"/>
              <w:rPr>
                <w:sz w:val="20"/>
                <w:szCs w:val="20"/>
              </w:rPr>
            </w:pPr>
            <w:r w:rsidRPr="001F1765">
              <w:rPr>
                <w:w w:val="90"/>
                <w:sz w:val="20"/>
                <w:szCs w:val="20"/>
              </w:rPr>
              <w:t>110</w:t>
            </w:r>
          </w:p>
        </w:tc>
        <w:tc>
          <w:tcPr>
            <w:tcW w:w="1134" w:type="dxa"/>
            <w:tcBorders>
              <w:top w:val="nil"/>
              <w:left w:val="single" w:sz="4" w:space="0" w:color="auto"/>
              <w:bottom w:val="nil"/>
              <w:right w:val="single" w:sz="4" w:space="0" w:color="auto"/>
            </w:tcBorders>
          </w:tcPr>
          <w:p w14:paraId="68927DDE" w14:textId="77777777" w:rsidR="003101CC" w:rsidRPr="001F1765" w:rsidRDefault="00206481" w:rsidP="006B1FEA">
            <w:pPr>
              <w:pStyle w:val="REG-P0"/>
              <w:jc w:val="center"/>
              <w:rPr>
                <w:sz w:val="20"/>
                <w:szCs w:val="20"/>
              </w:rPr>
            </w:pPr>
            <w:r w:rsidRPr="001F1765">
              <w:rPr>
                <w:sz w:val="20"/>
                <w:szCs w:val="20"/>
              </w:rPr>
              <w:t>70</w:t>
            </w:r>
          </w:p>
        </w:tc>
        <w:tc>
          <w:tcPr>
            <w:tcW w:w="993" w:type="dxa"/>
            <w:tcBorders>
              <w:top w:val="nil"/>
              <w:left w:val="single" w:sz="4" w:space="0" w:color="auto"/>
              <w:bottom w:val="nil"/>
            </w:tcBorders>
          </w:tcPr>
          <w:p w14:paraId="56F39293" w14:textId="77777777" w:rsidR="003101CC" w:rsidRPr="001F1765" w:rsidRDefault="00206481" w:rsidP="006B1FEA">
            <w:pPr>
              <w:pStyle w:val="REG-P0"/>
              <w:jc w:val="center"/>
              <w:rPr>
                <w:sz w:val="20"/>
                <w:szCs w:val="20"/>
              </w:rPr>
            </w:pPr>
            <w:r w:rsidRPr="001F1765">
              <w:rPr>
                <w:w w:val="95"/>
                <w:sz w:val="20"/>
                <w:szCs w:val="20"/>
              </w:rPr>
              <w:t>75</w:t>
            </w:r>
          </w:p>
        </w:tc>
      </w:tr>
      <w:tr w:rsidR="00271040" w14:paraId="2FA0EA50" w14:textId="77777777" w:rsidTr="004D3DCA">
        <w:tc>
          <w:tcPr>
            <w:tcW w:w="4243" w:type="dxa"/>
            <w:tcBorders>
              <w:top w:val="nil"/>
              <w:bottom w:val="nil"/>
            </w:tcBorders>
            <w:vAlign w:val="center"/>
          </w:tcPr>
          <w:p w14:paraId="2E096ED7" w14:textId="77777777" w:rsidR="003101CC" w:rsidRPr="001F1765" w:rsidRDefault="00206481" w:rsidP="00F3037E">
            <w:pPr>
              <w:pStyle w:val="REG-P0"/>
              <w:jc w:val="left"/>
              <w:rPr>
                <w:b/>
                <w:sz w:val="20"/>
                <w:szCs w:val="20"/>
              </w:rPr>
            </w:pPr>
            <w:r w:rsidRPr="001F1765">
              <w:rPr>
                <w:b/>
                <w:w w:val="105"/>
                <w:sz w:val="20"/>
                <w:szCs w:val="20"/>
              </w:rPr>
              <w:t>New works to existing structures</w:t>
            </w:r>
          </w:p>
        </w:tc>
        <w:tc>
          <w:tcPr>
            <w:tcW w:w="1417" w:type="dxa"/>
            <w:tcBorders>
              <w:top w:val="nil"/>
              <w:bottom w:val="nil"/>
              <w:right w:val="single" w:sz="4" w:space="0" w:color="auto"/>
            </w:tcBorders>
          </w:tcPr>
          <w:p w14:paraId="3AEDE70D" w14:textId="77777777" w:rsidR="003101CC" w:rsidRPr="001F1765" w:rsidRDefault="00206481" w:rsidP="006B1FEA">
            <w:pPr>
              <w:pStyle w:val="REG-P0"/>
              <w:jc w:val="center"/>
              <w:rPr>
                <w:sz w:val="20"/>
                <w:szCs w:val="20"/>
              </w:rPr>
            </w:pPr>
            <w:r w:rsidRPr="001F1765">
              <w:rPr>
                <w:w w:val="85"/>
                <w:sz w:val="20"/>
                <w:szCs w:val="20"/>
              </w:rPr>
              <w:t>125</w:t>
            </w:r>
          </w:p>
        </w:tc>
        <w:tc>
          <w:tcPr>
            <w:tcW w:w="1134" w:type="dxa"/>
            <w:tcBorders>
              <w:top w:val="nil"/>
              <w:left w:val="single" w:sz="4" w:space="0" w:color="auto"/>
              <w:bottom w:val="nil"/>
              <w:right w:val="single" w:sz="4" w:space="0" w:color="auto"/>
            </w:tcBorders>
          </w:tcPr>
          <w:p w14:paraId="53C5B95C" w14:textId="77777777" w:rsidR="003101CC" w:rsidRPr="001F1765" w:rsidRDefault="00206481" w:rsidP="006B1FEA">
            <w:pPr>
              <w:pStyle w:val="REG-P0"/>
              <w:jc w:val="center"/>
              <w:rPr>
                <w:sz w:val="20"/>
                <w:szCs w:val="20"/>
              </w:rPr>
            </w:pPr>
            <w:r w:rsidRPr="001F1765">
              <w:rPr>
                <w:w w:val="95"/>
                <w:sz w:val="20"/>
                <w:szCs w:val="20"/>
              </w:rPr>
              <w:t>75</w:t>
            </w:r>
          </w:p>
        </w:tc>
        <w:tc>
          <w:tcPr>
            <w:tcW w:w="993" w:type="dxa"/>
            <w:tcBorders>
              <w:top w:val="nil"/>
              <w:left w:val="single" w:sz="4" w:space="0" w:color="auto"/>
              <w:bottom w:val="nil"/>
            </w:tcBorders>
          </w:tcPr>
          <w:p w14:paraId="6364DDE1" w14:textId="77777777" w:rsidR="003101CC" w:rsidRPr="001F1765" w:rsidRDefault="00206481" w:rsidP="006B1FEA">
            <w:pPr>
              <w:pStyle w:val="REG-P0"/>
              <w:jc w:val="center"/>
              <w:rPr>
                <w:sz w:val="20"/>
                <w:szCs w:val="20"/>
              </w:rPr>
            </w:pPr>
            <w:r w:rsidRPr="001F1765">
              <w:rPr>
                <w:sz w:val="20"/>
                <w:szCs w:val="20"/>
              </w:rPr>
              <w:t>80</w:t>
            </w:r>
          </w:p>
        </w:tc>
      </w:tr>
      <w:tr w:rsidR="00271040" w14:paraId="1E45E260" w14:textId="77777777" w:rsidTr="004D3DCA">
        <w:tc>
          <w:tcPr>
            <w:tcW w:w="4243" w:type="dxa"/>
            <w:tcBorders>
              <w:top w:val="nil"/>
              <w:bottom w:val="nil"/>
            </w:tcBorders>
            <w:vAlign w:val="center"/>
          </w:tcPr>
          <w:p w14:paraId="4B49D647" w14:textId="77777777" w:rsidR="003101CC" w:rsidRPr="001F1765" w:rsidRDefault="00206481" w:rsidP="00F3037E">
            <w:pPr>
              <w:pStyle w:val="REG-P0"/>
              <w:jc w:val="left"/>
              <w:rPr>
                <w:b/>
                <w:sz w:val="20"/>
                <w:szCs w:val="20"/>
              </w:rPr>
            </w:pPr>
            <w:r w:rsidRPr="001F1765">
              <w:rPr>
                <w:b/>
                <w:w w:val="105"/>
                <w:sz w:val="20"/>
                <w:szCs w:val="20"/>
              </w:rPr>
              <w:t>Principal agent</w:t>
            </w:r>
          </w:p>
        </w:tc>
        <w:tc>
          <w:tcPr>
            <w:tcW w:w="1417" w:type="dxa"/>
            <w:tcBorders>
              <w:top w:val="nil"/>
              <w:bottom w:val="nil"/>
              <w:right w:val="single" w:sz="4" w:space="0" w:color="auto"/>
            </w:tcBorders>
          </w:tcPr>
          <w:p w14:paraId="6AAE4C1D" w14:textId="77777777" w:rsidR="003101CC" w:rsidRPr="001F1765" w:rsidRDefault="00206481" w:rsidP="006B1FEA">
            <w:pPr>
              <w:pStyle w:val="REG-P0"/>
              <w:jc w:val="center"/>
              <w:rPr>
                <w:sz w:val="20"/>
                <w:szCs w:val="20"/>
              </w:rPr>
            </w:pPr>
            <w:r w:rsidRPr="001F1765">
              <w:rPr>
                <w:w w:val="90"/>
                <w:sz w:val="20"/>
                <w:szCs w:val="20"/>
              </w:rPr>
              <w:t>25*</w:t>
            </w:r>
          </w:p>
        </w:tc>
        <w:tc>
          <w:tcPr>
            <w:tcW w:w="1134" w:type="dxa"/>
            <w:tcBorders>
              <w:top w:val="nil"/>
              <w:left w:val="single" w:sz="4" w:space="0" w:color="auto"/>
              <w:bottom w:val="nil"/>
              <w:right w:val="single" w:sz="4" w:space="0" w:color="auto"/>
            </w:tcBorders>
          </w:tcPr>
          <w:p w14:paraId="3BAAEB13" w14:textId="77777777" w:rsidR="003101CC" w:rsidRPr="001F1765" w:rsidRDefault="00206481" w:rsidP="006B1FEA">
            <w:pPr>
              <w:pStyle w:val="REG-P0"/>
              <w:jc w:val="center"/>
              <w:rPr>
                <w:sz w:val="20"/>
                <w:szCs w:val="20"/>
              </w:rPr>
            </w:pPr>
            <w:r w:rsidRPr="001F1765">
              <w:rPr>
                <w:w w:val="90"/>
                <w:sz w:val="20"/>
                <w:szCs w:val="20"/>
              </w:rPr>
              <w:t>25*</w:t>
            </w:r>
          </w:p>
        </w:tc>
        <w:tc>
          <w:tcPr>
            <w:tcW w:w="993" w:type="dxa"/>
            <w:tcBorders>
              <w:top w:val="nil"/>
              <w:left w:val="single" w:sz="4" w:space="0" w:color="auto"/>
              <w:bottom w:val="nil"/>
            </w:tcBorders>
          </w:tcPr>
          <w:p w14:paraId="2708F904" w14:textId="77777777" w:rsidR="003101CC" w:rsidRPr="001F1765" w:rsidRDefault="00206481" w:rsidP="006B1FEA">
            <w:pPr>
              <w:pStyle w:val="REG-P0"/>
              <w:jc w:val="center"/>
              <w:rPr>
                <w:sz w:val="20"/>
                <w:szCs w:val="20"/>
              </w:rPr>
            </w:pPr>
            <w:r w:rsidRPr="001F1765">
              <w:rPr>
                <w:w w:val="90"/>
                <w:sz w:val="20"/>
                <w:szCs w:val="20"/>
              </w:rPr>
              <w:t>25*</w:t>
            </w:r>
          </w:p>
        </w:tc>
      </w:tr>
      <w:tr w:rsidR="00271040" w14:paraId="2DA6247C" w14:textId="77777777" w:rsidTr="004D3DCA">
        <w:tc>
          <w:tcPr>
            <w:tcW w:w="4243" w:type="dxa"/>
            <w:tcBorders>
              <w:top w:val="nil"/>
              <w:bottom w:val="nil"/>
            </w:tcBorders>
            <w:vAlign w:val="center"/>
          </w:tcPr>
          <w:p w14:paraId="7A0A4122" w14:textId="77777777" w:rsidR="003101CC" w:rsidRPr="001F1765" w:rsidRDefault="00206481" w:rsidP="00F3037E">
            <w:pPr>
              <w:pStyle w:val="REG-P0"/>
              <w:jc w:val="left"/>
              <w:rPr>
                <w:sz w:val="20"/>
                <w:szCs w:val="20"/>
              </w:rPr>
            </w:pPr>
            <w:r w:rsidRPr="001F1765">
              <w:rPr>
                <w:b/>
                <w:sz w:val="20"/>
                <w:szCs w:val="20"/>
              </w:rPr>
              <w:t xml:space="preserve">Process engineering works </w:t>
            </w:r>
            <w:r w:rsidRPr="001F1765">
              <w:rPr>
                <w:sz w:val="20"/>
                <w:szCs w:val="20"/>
              </w:rPr>
              <w:t>utilising detail</w:t>
            </w:r>
          </w:p>
        </w:tc>
        <w:tc>
          <w:tcPr>
            <w:tcW w:w="1417" w:type="dxa"/>
            <w:tcBorders>
              <w:top w:val="nil"/>
              <w:bottom w:val="nil"/>
              <w:right w:val="single" w:sz="4" w:space="0" w:color="auto"/>
            </w:tcBorders>
          </w:tcPr>
          <w:p w14:paraId="7671A165" w14:textId="77777777" w:rsidR="003101CC" w:rsidRPr="001F1765" w:rsidRDefault="003101CC" w:rsidP="006B1FEA">
            <w:pPr>
              <w:pStyle w:val="REG-P0"/>
              <w:jc w:val="center"/>
              <w:rPr>
                <w:sz w:val="20"/>
                <w:szCs w:val="20"/>
              </w:rPr>
            </w:pPr>
          </w:p>
        </w:tc>
        <w:tc>
          <w:tcPr>
            <w:tcW w:w="1134" w:type="dxa"/>
            <w:tcBorders>
              <w:top w:val="nil"/>
              <w:left w:val="single" w:sz="4" w:space="0" w:color="auto"/>
              <w:bottom w:val="nil"/>
              <w:right w:val="single" w:sz="4" w:space="0" w:color="auto"/>
            </w:tcBorders>
          </w:tcPr>
          <w:p w14:paraId="00499D33" w14:textId="77777777" w:rsidR="003101CC" w:rsidRPr="001F1765" w:rsidRDefault="003101CC" w:rsidP="006B1FEA">
            <w:pPr>
              <w:pStyle w:val="REG-P0"/>
              <w:jc w:val="center"/>
              <w:rPr>
                <w:sz w:val="20"/>
                <w:szCs w:val="20"/>
              </w:rPr>
            </w:pPr>
          </w:p>
        </w:tc>
        <w:tc>
          <w:tcPr>
            <w:tcW w:w="993" w:type="dxa"/>
            <w:tcBorders>
              <w:top w:val="nil"/>
              <w:left w:val="single" w:sz="4" w:space="0" w:color="auto"/>
              <w:bottom w:val="nil"/>
            </w:tcBorders>
          </w:tcPr>
          <w:p w14:paraId="23206A99" w14:textId="77777777" w:rsidR="003101CC" w:rsidRPr="001F1765" w:rsidRDefault="003101CC" w:rsidP="006B1FEA">
            <w:pPr>
              <w:pStyle w:val="REG-P0"/>
              <w:jc w:val="center"/>
              <w:rPr>
                <w:sz w:val="20"/>
                <w:szCs w:val="20"/>
              </w:rPr>
            </w:pPr>
          </w:p>
        </w:tc>
      </w:tr>
      <w:tr w:rsidR="00271040" w14:paraId="1D56CBD6" w14:textId="77777777" w:rsidTr="004D3DCA">
        <w:tc>
          <w:tcPr>
            <w:tcW w:w="4243" w:type="dxa"/>
            <w:tcBorders>
              <w:top w:val="nil"/>
              <w:bottom w:val="nil"/>
            </w:tcBorders>
            <w:vAlign w:val="center"/>
          </w:tcPr>
          <w:p w14:paraId="59D2740D" w14:textId="77777777" w:rsidR="003101CC" w:rsidRPr="001F1765" w:rsidRDefault="00206481" w:rsidP="00F3037E">
            <w:pPr>
              <w:pStyle w:val="REG-P0"/>
              <w:jc w:val="left"/>
              <w:rPr>
                <w:sz w:val="20"/>
                <w:szCs w:val="20"/>
              </w:rPr>
            </w:pPr>
            <w:r w:rsidRPr="001F1765">
              <w:rPr>
                <w:w w:val="105"/>
                <w:sz w:val="20"/>
                <w:szCs w:val="20"/>
              </w:rPr>
              <w:t>isometric drawings</w:t>
            </w:r>
          </w:p>
        </w:tc>
        <w:tc>
          <w:tcPr>
            <w:tcW w:w="1417" w:type="dxa"/>
            <w:tcBorders>
              <w:top w:val="nil"/>
              <w:bottom w:val="nil"/>
              <w:right w:val="single" w:sz="4" w:space="0" w:color="auto"/>
            </w:tcBorders>
          </w:tcPr>
          <w:p w14:paraId="79BAE9BD" w14:textId="77777777" w:rsidR="003101CC" w:rsidRPr="001F1765" w:rsidRDefault="00206481" w:rsidP="006B1FEA">
            <w:pPr>
              <w:pStyle w:val="REG-P0"/>
              <w:jc w:val="center"/>
              <w:rPr>
                <w:sz w:val="20"/>
                <w:szCs w:val="20"/>
              </w:rPr>
            </w:pPr>
            <w:r w:rsidRPr="001F1765">
              <w:rPr>
                <w:w w:val="95"/>
                <w:sz w:val="20"/>
                <w:szCs w:val="20"/>
              </w:rPr>
              <w:t>55</w:t>
            </w:r>
          </w:p>
        </w:tc>
        <w:tc>
          <w:tcPr>
            <w:tcW w:w="1134" w:type="dxa"/>
            <w:tcBorders>
              <w:top w:val="nil"/>
              <w:left w:val="single" w:sz="4" w:space="0" w:color="auto"/>
              <w:bottom w:val="nil"/>
              <w:right w:val="single" w:sz="4" w:space="0" w:color="auto"/>
            </w:tcBorders>
          </w:tcPr>
          <w:p w14:paraId="12A601C2" w14:textId="77777777" w:rsidR="003101CC" w:rsidRPr="001F1765" w:rsidRDefault="00206481" w:rsidP="006B1FEA">
            <w:pPr>
              <w:pStyle w:val="REG-P0"/>
              <w:jc w:val="center"/>
              <w:rPr>
                <w:sz w:val="20"/>
                <w:szCs w:val="20"/>
              </w:rPr>
            </w:pPr>
            <w:r w:rsidRPr="001F1765">
              <w:rPr>
                <w:sz w:val="20"/>
                <w:szCs w:val="20"/>
              </w:rPr>
              <w:t>45</w:t>
            </w:r>
          </w:p>
        </w:tc>
        <w:tc>
          <w:tcPr>
            <w:tcW w:w="993" w:type="dxa"/>
            <w:tcBorders>
              <w:top w:val="nil"/>
              <w:left w:val="single" w:sz="4" w:space="0" w:color="auto"/>
              <w:bottom w:val="nil"/>
            </w:tcBorders>
          </w:tcPr>
          <w:p w14:paraId="059E19F7" w14:textId="77777777" w:rsidR="003101CC" w:rsidRPr="001F1765" w:rsidRDefault="00206481" w:rsidP="006B1FEA">
            <w:pPr>
              <w:pStyle w:val="REG-P0"/>
              <w:jc w:val="center"/>
              <w:rPr>
                <w:sz w:val="20"/>
                <w:szCs w:val="20"/>
              </w:rPr>
            </w:pPr>
            <w:r w:rsidRPr="001F1765">
              <w:rPr>
                <w:w w:val="95"/>
                <w:sz w:val="20"/>
                <w:szCs w:val="20"/>
              </w:rPr>
              <w:t>55</w:t>
            </w:r>
          </w:p>
        </w:tc>
      </w:tr>
      <w:tr w:rsidR="00271040" w14:paraId="7B5F0876" w14:textId="77777777" w:rsidTr="004D3DCA">
        <w:tc>
          <w:tcPr>
            <w:tcW w:w="4243" w:type="dxa"/>
            <w:tcBorders>
              <w:top w:val="nil"/>
              <w:bottom w:val="nil"/>
            </w:tcBorders>
            <w:vAlign w:val="center"/>
          </w:tcPr>
          <w:p w14:paraId="30E8F209" w14:textId="77777777" w:rsidR="003101CC" w:rsidRPr="001F1765" w:rsidRDefault="00206481" w:rsidP="00F3037E">
            <w:pPr>
              <w:pStyle w:val="TableParagraph"/>
              <w:rPr>
                <w:rFonts w:cs="Times New Roman"/>
                <w:sz w:val="20"/>
                <w:szCs w:val="20"/>
              </w:rPr>
            </w:pPr>
            <w:r w:rsidRPr="001F1765">
              <w:rPr>
                <w:rFonts w:cs="Times New Roman"/>
                <w:b/>
                <w:sz w:val="20"/>
                <w:szCs w:val="20"/>
              </w:rPr>
              <w:t xml:space="preserve">Process engineering works </w:t>
            </w:r>
            <w:r w:rsidRPr="001F1765">
              <w:rPr>
                <w:rFonts w:cs="Times New Roman"/>
                <w:sz w:val="20"/>
                <w:szCs w:val="20"/>
              </w:rPr>
              <w:t>utilising</w:t>
            </w:r>
          </w:p>
        </w:tc>
        <w:tc>
          <w:tcPr>
            <w:tcW w:w="1417" w:type="dxa"/>
            <w:tcBorders>
              <w:top w:val="nil"/>
              <w:bottom w:val="nil"/>
              <w:right w:val="single" w:sz="4" w:space="0" w:color="auto"/>
            </w:tcBorders>
          </w:tcPr>
          <w:p w14:paraId="739A0F9E" w14:textId="77777777" w:rsidR="003101CC" w:rsidRPr="001F1765" w:rsidRDefault="003101CC" w:rsidP="006B1FEA">
            <w:pPr>
              <w:pStyle w:val="TableParagraph"/>
              <w:jc w:val="center"/>
              <w:rPr>
                <w:rFonts w:cs="Times New Roman"/>
                <w:sz w:val="20"/>
                <w:szCs w:val="20"/>
              </w:rPr>
            </w:pPr>
          </w:p>
        </w:tc>
        <w:tc>
          <w:tcPr>
            <w:tcW w:w="1134" w:type="dxa"/>
            <w:tcBorders>
              <w:top w:val="nil"/>
              <w:left w:val="single" w:sz="4" w:space="0" w:color="auto"/>
              <w:bottom w:val="nil"/>
              <w:right w:val="single" w:sz="4" w:space="0" w:color="auto"/>
            </w:tcBorders>
          </w:tcPr>
          <w:p w14:paraId="7856241F" w14:textId="77777777" w:rsidR="003101CC" w:rsidRPr="001F1765" w:rsidRDefault="003101CC" w:rsidP="006B1FEA">
            <w:pPr>
              <w:pStyle w:val="TableParagraph"/>
              <w:jc w:val="center"/>
              <w:rPr>
                <w:rFonts w:cs="Times New Roman"/>
                <w:sz w:val="20"/>
                <w:szCs w:val="20"/>
              </w:rPr>
            </w:pPr>
          </w:p>
        </w:tc>
        <w:tc>
          <w:tcPr>
            <w:tcW w:w="993" w:type="dxa"/>
            <w:tcBorders>
              <w:top w:val="nil"/>
              <w:left w:val="single" w:sz="4" w:space="0" w:color="auto"/>
              <w:bottom w:val="nil"/>
            </w:tcBorders>
          </w:tcPr>
          <w:p w14:paraId="1BB49FB1" w14:textId="77777777" w:rsidR="003101CC" w:rsidRPr="001F1765" w:rsidRDefault="003101CC" w:rsidP="006B1FEA">
            <w:pPr>
              <w:pStyle w:val="TableParagraph"/>
              <w:jc w:val="center"/>
              <w:rPr>
                <w:rFonts w:cs="Times New Roman"/>
                <w:sz w:val="20"/>
                <w:szCs w:val="20"/>
              </w:rPr>
            </w:pPr>
          </w:p>
        </w:tc>
      </w:tr>
      <w:tr w:rsidR="00271040" w14:paraId="51199A0C" w14:textId="77777777" w:rsidTr="004D3DCA">
        <w:tc>
          <w:tcPr>
            <w:tcW w:w="4243" w:type="dxa"/>
            <w:tcBorders>
              <w:top w:val="nil"/>
              <w:bottom w:val="nil"/>
            </w:tcBorders>
            <w:vAlign w:val="center"/>
          </w:tcPr>
          <w:p w14:paraId="07D49BCB" w14:textId="77777777" w:rsidR="003101CC" w:rsidRPr="001F1765" w:rsidRDefault="00206481" w:rsidP="00F3037E">
            <w:pPr>
              <w:pStyle w:val="TableParagraph"/>
              <w:rPr>
                <w:rFonts w:cs="Times New Roman"/>
                <w:sz w:val="20"/>
                <w:szCs w:val="20"/>
              </w:rPr>
            </w:pPr>
            <w:r w:rsidRPr="001F1765">
              <w:rPr>
                <w:rFonts w:cs="Times New Roman"/>
                <w:sz w:val="20"/>
                <w:szCs w:val="20"/>
              </w:rPr>
              <w:t>general arrangement drawings</w:t>
            </w:r>
          </w:p>
        </w:tc>
        <w:tc>
          <w:tcPr>
            <w:tcW w:w="1417" w:type="dxa"/>
            <w:tcBorders>
              <w:top w:val="nil"/>
              <w:bottom w:val="nil"/>
              <w:right w:val="single" w:sz="4" w:space="0" w:color="auto"/>
            </w:tcBorders>
          </w:tcPr>
          <w:p w14:paraId="02697738"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85</w:t>
            </w:r>
          </w:p>
        </w:tc>
        <w:tc>
          <w:tcPr>
            <w:tcW w:w="1134" w:type="dxa"/>
            <w:tcBorders>
              <w:top w:val="nil"/>
              <w:left w:val="single" w:sz="4" w:space="0" w:color="auto"/>
              <w:bottom w:val="nil"/>
              <w:right w:val="single" w:sz="4" w:space="0" w:color="auto"/>
            </w:tcBorders>
          </w:tcPr>
          <w:p w14:paraId="230F42DD"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45</w:t>
            </w:r>
          </w:p>
        </w:tc>
        <w:tc>
          <w:tcPr>
            <w:tcW w:w="993" w:type="dxa"/>
            <w:tcBorders>
              <w:top w:val="nil"/>
              <w:left w:val="single" w:sz="4" w:space="0" w:color="auto"/>
              <w:bottom w:val="nil"/>
            </w:tcBorders>
          </w:tcPr>
          <w:p w14:paraId="1B84CF83"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55</w:t>
            </w:r>
          </w:p>
        </w:tc>
      </w:tr>
      <w:tr w:rsidR="00271040" w14:paraId="5E58224A" w14:textId="77777777" w:rsidTr="004D3DCA">
        <w:tc>
          <w:tcPr>
            <w:tcW w:w="4243" w:type="dxa"/>
            <w:tcBorders>
              <w:top w:val="nil"/>
              <w:bottom w:val="nil"/>
            </w:tcBorders>
            <w:vAlign w:val="center"/>
          </w:tcPr>
          <w:p w14:paraId="5E37A6CF" w14:textId="77777777" w:rsidR="003101CC" w:rsidRPr="001F1765" w:rsidRDefault="00206481" w:rsidP="00F3037E">
            <w:pPr>
              <w:pStyle w:val="TableParagraph"/>
              <w:rPr>
                <w:rFonts w:cs="Times New Roman"/>
                <w:b/>
                <w:sz w:val="20"/>
                <w:szCs w:val="20"/>
              </w:rPr>
            </w:pPr>
            <w:r w:rsidRPr="001F1765">
              <w:rPr>
                <w:rFonts w:cs="Times New Roman"/>
                <w:b/>
                <w:w w:val="105"/>
                <w:sz w:val="20"/>
                <w:szCs w:val="20"/>
              </w:rPr>
              <w:t>Project manager</w:t>
            </w:r>
          </w:p>
        </w:tc>
        <w:tc>
          <w:tcPr>
            <w:tcW w:w="1417" w:type="dxa"/>
            <w:tcBorders>
              <w:top w:val="nil"/>
              <w:bottom w:val="nil"/>
              <w:right w:val="single" w:sz="4" w:space="0" w:color="auto"/>
            </w:tcBorders>
          </w:tcPr>
          <w:p w14:paraId="180734FC"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45*</w:t>
            </w:r>
          </w:p>
        </w:tc>
        <w:tc>
          <w:tcPr>
            <w:tcW w:w="1134" w:type="dxa"/>
            <w:tcBorders>
              <w:top w:val="nil"/>
              <w:left w:val="single" w:sz="4" w:space="0" w:color="auto"/>
              <w:bottom w:val="nil"/>
              <w:right w:val="single" w:sz="4" w:space="0" w:color="auto"/>
            </w:tcBorders>
          </w:tcPr>
          <w:p w14:paraId="67885C98" w14:textId="77777777" w:rsidR="003101CC" w:rsidRPr="001F1765" w:rsidRDefault="00206481" w:rsidP="006B1FEA">
            <w:pPr>
              <w:pStyle w:val="TableParagraph"/>
              <w:jc w:val="center"/>
              <w:rPr>
                <w:rFonts w:cs="Times New Roman"/>
                <w:sz w:val="20"/>
                <w:szCs w:val="20"/>
              </w:rPr>
            </w:pPr>
            <w:r w:rsidRPr="001F1765">
              <w:rPr>
                <w:rFonts w:cs="Times New Roman"/>
                <w:sz w:val="20"/>
                <w:szCs w:val="20"/>
              </w:rPr>
              <w:t>45*</w:t>
            </w:r>
          </w:p>
        </w:tc>
        <w:tc>
          <w:tcPr>
            <w:tcW w:w="993" w:type="dxa"/>
            <w:tcBorders>
              <w:top w:val="nil"/>
              <w:left w:val="single" w:sz="4" w:space="0" w:color="auto"/>
              <w:bottom w:val="nil"/>
            </w:tcBorders>
          </w:tcPr>
          <w:p w14:paraId="75552422"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45*</w:t>
            </w:r>
          </w:p>
        </w:tc>
      </w:tr>
      <w:tr w:rsidR="00271040" w14:paraId="774E47CB" w14:textId="77777777" w:rsidTr="004D3DCA">
        <w:tc>
          <w:tcPr>
            <w:tcW w:w="4243" w:type="dxa"/>
            <w:tcBorders>
              <w:top w:val="nil"/>
              <w:bottom w:val="nil"/>
            </w:tcBorders>
            <w:vAlign w:val="center"/>
          </w:tcPr>
          <w:p w14:paraId="7628471F" w14:textId="77777777" w:rsidR="003101CC" w:rsidRPr="001F1765" w:rsidRDefault="00206481" w:rsidP="00F3037E">
            <w:pPr>
              <w:pStyle w:val="TableParagraph"/>
              <w:rPr>
                <w:rFonts w:cs="Times New Roman"/>
                <w:b/>
                <w:sz w:val="20"/>
                <w:szCs w:val="20"/>
              </w:rPr>
            </w:pPr>
            <w:r w:rsidRPr="001F1765">
              <w:rPr>
                <w:rFonts w:cs="Times New Roman"/>
                <w:b/>
                <w:sz w:val="20"/>
                <w:szCs w:val="20"/>
              </w:rPr>
              <w:t>Redecoration works</w:t>
            </w:r>
          </w:p>
        </w:tc>
        <w:tc>
          <w:tcPr>
            <w:tcW w:w="1417" w:type="dxa"/>
            <w:tcBorders>
              <w:top w:val="nil"/>
              <w:bottom w:val="nil"/>
              <w:right w:val="single" w:sz="4" w:space="0" w:color="auto"/>
            </w:tcBorders>
          </w:tcPr>
          <w:p w14:paraId="023D7317" w14:textId="77777777" w:rsidR="003101CC" w:rsidRPr="001F1765" w:rsidRDefault="00206481" w:rsidP="006B1FEA">
            <w:pPr>
              <w:pStyle w:val="TableParagraph"/>
              <w:jc w:val="center"/>
              <w:rPr>
                <w:rFonts w:cs="Times New Roman"/>
                <w:sz w:val="20"/>
                <w:szCs w:val="20"/>
              </w:rPr>
            </w:pPr>
            <w:r w:rsidRPr="001F1765">
              <w:rPr>
                <w:rFonts w:cs="Times New Roman"/>
                <w:sz w:val="20"/>
                <w:szCs w:val="20"/>
              </w:rPr>
              <w:t>175</w:t>
            </w:r>
          </w:p>
        </w:tc>
        <w:tc>
          <w:tcPr>
            <w:tcW w:w="1134" w:type="dxa"/>
            <w:tcBorders>
              <w:top w:val="nil"/>
              <w:left w:val="single" w:sz="4" w:space="0" w:color="auto"/>
              <w:bottom w:val="nil"/>
              <w:right w:val="single" w:sz="4" w:space="0" w:color="auto"/>
            </w:tcBorders>
          </w:tcPr>
          <w:p w14:paraId="0A74F288"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85</w:t>
            </w:r>
          </w:p>
        </w:tc>
        <w:tc>
          <w:tcPr>
            <w:tcW w:w="993" w:type="dxa"/>
            <w:tcBorders>
              <w:top w:val="nil"/>
              <w:left w:val="single" w:sz="4" w:space="0" w:color="auto"/>
              <w:bottom w:val="nil"/>
            </w:tcBorders>
          </w:tcPr>
          <w:p w14:paraId="4388EF39" w14:textId="77777777" w:rsidR="003101CC" w:rsidRPr="001F1765" w:rsidRDefault="00206481" w:rsidP="006B1FEA">
            <w:pPr>
              <w:pStyle w:val="TableParagraph"/>
              <w:jc w:val="center"/>
              <w:rPr>
                <w:rFonts w:cs="Times New Roman"/>
                <w:sz w:val="20"/>
                <w:szCs w:val="20"/>
              </w:rPr>
            </w:pPr>
            <w:r w:rsidRPr="001F1765">
              <w:rPr>
                <w:rFonts w:cs="Times New Roman"/>
                <w:w w:val="110"/>
                <w:sz w:val="20"/>
                <w:szCs w:val="20"/>
              </w:rPr>
              <w:t>90</w:t>
            </w:r>
          </w:p>
        </w:tc>
      </w:tr>
      <w:tr w:rsidR="00271040" w14:paraId="252A1F77" w14:textId="77777777" w:rsidTr="004D3DCA">
        <w:tc>
          <w:tcPr>
            <w:tcW w:w="4243" w:type="dxa"/>
            <w:tcBorders>
              <w:top w:val="nil"/>
              <w:bottom w:val="nil"/>
            </w:tcBorders>
            <w:vAlign w:val="center"/>
          </w:tcPr>
          <w:p w14:paraId="11252F75" w14:textId="77777777" w:rsidR="003101CC" w:rsidRPr="001F1765" w:rsidRDefault="00206481" w:rsidP="00F3037E">
            <w:pPr>
              <w:pStyle w:val="TableParagraph"/>
              <w:rPr>
                <w:rFonts w:cs="Times New Roman"/>
                <w:b/>
                <w:sz w:val="20"/>
                <w:szCs w:val="20"/>
              </w:rPr>
            </w:pPr>
            <w:r w:rsidRPr="001F1765">
              <w:rPr>
                <w:rFonts w:cs="Times New Roman"/>
                <w:b/>
                <w:sz w:val="20"/>
                <w:szCs w:val="20"/>
              </w:rPr>
              <w:t>Replication works:</w:t>
            </w:r>
          </w:p>
        </w:tc>
        <w:tc>
          <w:tcPr>
            <w:tcW w:w="1417" w:type="dxa"/>
            <w:tcBorders>
              <w:top w:val="nil"/>
              <w:bottom w:val="nil"/>
              <w:right w:val="single" w:sz="4" w:space="0" w:color="auto"/>
            </w:tcBorders>
          </w:tcPr>
          <w:p w14:paraId="5A9A66F5" w14:textId="77777777" w:rsidR="003101CC" w:rsidRPr="001F1765" w:rsidRDefault="003101CC" w:rsidP="006B1FEA">
            <w:pPr>
              <w:pStyle w:val="TableParagraph"/>
              <w:jc w:val="center"/>
              <w:rPr>
                <w:rFonts w:cs="Times New Roman"/>
                <w:sz w:val="20"/>
                <w:szCs w:val="20"/>
              </w:rPr>
            </w:pPr>
          </w:p>
        </w:tc>
        <w:tc>
          <w:tcPr>
            <w:tcW w:w="1134" w:type="dxa"/>
            <w:tcBorders>
              <w:top w:val="nil"/>
              <w:left w:val="single" w:sz="4" w:space="0" w:color="auto"/>
              <w:bottom w:val="nil"/>
              <w:right w:val="single" w:sz="4" w:space="0" w:color="auto"/>
            </w:tcBorders>
          </w:tcPr>
          <w:p w14:paraId="706C9B78" w14:textId="77777777" w:rsidR="003101CC" w:rsidRPr="001F1765" w:rsidRDefault="003101CC" w:rsidP="006B1FEA">
            <w:pPr>
              <w:pStyle w:val="TableParagraph"/>
              <w:jc w:val="center"/>
              <w:rPr>
                <w:rFonts w:cs="Times New Roman"/>
                <w:sz w:val="20"/>
                <w:szCs w:val="20"/>
              </w:rPr>
            </w:pPr>
          </w:p>
        </w:tc>
        <w:tc>
          <w:tcPr>
            <w:tcW w:w="993" w:type="dxa"/>
            <w:tcBorders>
              <w:top w:val="nil"/>
              <w:left w:val="single" w:sz="4" w:space="0" w:color="auto"/>
              <w:bottom w:val="nil"/>
            </w:tcBorders>
          </w:tcPr>
          <w:p w14:paraId="11953BF7" w14:textId="77777777" w:rsidR="003101CC" w:rsidRPr="001F1765" w:rsidRDefault="003101CC" w:rsidP="006B1FEA">
            <w:pPr>
              <w:pStyle w:val="TableParagraph"/>
              <w:jc w:val="center"/>
              <w:rPr>
                <w:rFonts w:cs="Times New Roman"/>
                <w:sz w:val="20"/>
                <w:szCs w:val="20"/>
              </w:rPr>
            </w:pPr>
          </w:p>
        </w:tc>
      </w:tr>
      <w:tr w:rsidR="00271040" w14:paraId="3282BA7E" w14:textId="77777777" w:rsidTr="004D3DCA">
        <w:tc>
          <w:tcPr>
            <w:tcW w:w="4243" w:type="dxa"/>
            <w:tcBorders>
              <w:top w:val="nil"/>
              <w:bottom w:val="nil"/>
            </w:tcBorders>
            <w:vAlign w:val="center"/>
          </w:tcPr>
          <w:p w14:paraId="5C05DC90" w14:textId="77777777" w:rsidR="003101CC" w:rsidRPr="001F1765" w:rsidRDefault="00206481" w:rsidP="00F3037E">
            <w:pPr>
              <w:pStyle w:val="TableParagraph"/>
              <w:rPr>
                <w:rFonts w:cs="Times New Roman"/>
                <w:sz w:val="20"/>
                <w:szCs w:val="20"/>
              </w:rPr>
            </w:pPr>
            <w:r w:rsidRPr="001F1765">
              <w:rPr>
                <w:rFonts w:cs="Times New Roman"/>
                <w:sz w:val="20"/>
                <w:szCs w:val="20"/>
              </w:rPr>
              <w:t>Prototypes and other non-replication work</w:t>
            </w:r>
          </w:p>
        </w:tc>
        <w:tc>
          <w:tcPr>
            <w:tcW w:w="1417" w:type="dxa"/>
            <w:tcBorders>
              <w:top w:val="nil"/>
              <w:bottom w:val="nil"/>
              <w:right w:val="single" w:sz="4" w:space="0" w:color="auto"/>
            </w:tcBorders>
          </w:tcPr>
          <w:p w14:paraId="67EB7353"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100</w:t>
            </w:r>
          </w:p>
        </w:tc>
        <w:tc>
          <w:tcPr>
            <w:tcW w:w="1134" w:type="dxa"/>
            <w:tcBorders>
              <w:top w:val="nil"/>
              <w:left w:val="single" w:sz="4" w:space="0" w:color="auto"/>
              <w:bottom w:val="nil"/>
              <w:right w:val="single" w:sz="4" w:space="0" w:color="auto"/>
            </w:tcBorders>
          </w:tcPr>
          <w:p w14:paraId="4EB43063"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65</w:t>
            </w:r>
          </w:p>
        </w:tc>
        <w:tc>
          <w:tcPr>
            <w:tcW w:w="993" w:type="dxa"/>
            <w:tcBorders>
              <w:top w:val="nil"/>
              <w:left w:val="single" w:sz="4" w:space="0" w:color="auto"/>
              <w:bottom w:val="nil"/>
            </w:tcBorders>
          </w:tcPr>
          <w:p w14:paraId="71B11BC1"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70</w:t>
            </w:r>
          </w:p>
        </w:tc>
      </w:tr>
      <w:tr w:rsidR="00271040" w14:paraId="679BFB05" w14:textId="77777777" w:rsidTr="004D3DCA">
        <w:tc>
          <w:tcPr>
            <w:tcW w:w="4243" w:type="dxa"/>
            <w:tcBorders>
              <w:top w:val="nil"/>
              <w:bottom w:val="nil"/>
            </w:tcBorders>
            <w:vAlign w:val="center"/>
          </w:tcPr>
          <w:p w14:paraId="5C394585" w14:textId="77777777" w:rsidR="003101CC" w:rsidRPr="001F1765" w:rsidRDefault="00206481" w:rsidP="00F3037E">
            <w:pPr>
              <w:pStyle w:val="TableParagraph"/>
              <w:rPr>
                <w:rFonts w:cs="Times New Roman"/>
                <w:sz w:val="20"/>
                <w:szCs w:val="20"/>
              </w:rPr>
            </w:pPr>
            <w:r w:rsidRPr="001F1765">
              <w:rPr>
                <w:rFonts w:cs="Times New Roman"/>
                <w:sz w:val="20"/>
                <w:szCs w:val="20"/>
              </w:rPr>
              <w:t>First replication of prototype</w:t>
            </w:r>
          </w:p>
        </w:tc>
        <w:tc>
          <w:tcPr>
            <w:tcW w:w="1417" w:type="dxa"/>
            <w:tcBorders>
              <w:top w:val="nil"/>
              <w:bottom w:val="nil"/>
              <w:right w:val="single" w:sz="4" w:space="0" w:color="auto"/>
            </w:tcBorders>
          </w:tcPr>
          <w:p w14:paraId="1C2CDFAD"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70</w:t>
            </w:r>
          </w:p>
        </w:tc>
        <w:tc>
          <w:tcPr>
            <w:tcW w:w="1134" w:type="dxa"/>
            <w:tcBorders>
              <w:top w:val="nil"/>
              <w:left w:val="single" w:sz="4" w:space="0" w:color="auto"/>
              <w:bottom w:val="nil"/>
              <w:right w:val="single" w:sz="4" w:space="0" w:color="auto"/>
            </w:tcBorders>
          </w:tcPr>
          <w:p w14:paraId="008DB9F5"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55</w:t>
            </w:r>
          </w:p>
        </w:tc>
        <w:tc>
          <w:tcPr>
            <w:tcW w:w="993" w:type="dxa"/>
            <w:tcBorders>
              <w:top w:val="nil"/>
              <w:left w:val="single" w:sz="4" w:space="0" w:color="auto"/>
              <w:bottom w:val="nil"/>
            </w:tcBorders>
          </w:tcPr>
          <w:p w14:paraId="582391C4"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70</w:t>
            </w:r>
          </w:p>
        </w:tc>
      </w:tr>
      <w:tr w:rsidR="00271040" w14:paraId="1213E673" w14:textId="77777777" w:rsidTr="004D3DCA">
        <w:tc>
          <w:tcPr>
            <w:tcW w:w="4243" w:type="dxa"/>
            <w:tcBorders>
              <w:top w:val="nil"/>
              <w:bottom w:val="nil"/>
            </w:tcBorders>
            <w:vAlign w:val="center"/>
          </w:tcPr>
          <w:p w14:paraId="65F9ECEB" w14:textId="77777777" w:rsidR="003101CC" w:rsidRPr="001F1765" w:rsidRDefault="00206481" w:rsidP="00F3037E">
            <w:pPr>
              <w:pStyle w:val="TableParagraph"/>
              <w:rPr>
                <w:rFonts w:cs="Times New Roman"/>
                <w:sz w:val="20"/>
                <w:szCs w:val="20"/>
              </w:rPr>
            </w:pPr>
            <w:r w:rsidRPr="001F1765">
              <w:rPr>
                <w:rFonts w:cs="Times New Roman"/>
                <w:sz w:val="20"/>
                <w:szCs w:val="20"/>
              </w:rPr>
              <w:t>Next five replications of prototype</w:t>
            </w:r>
          </w:p>
        </w:tc>
        <w:tc>
          <w:tcPr>
            <w:tcW w:w="1417" w:type="dxa"/>
            <w:tcBorders>
              <w:top w:val="nil"/>
              <w:bottom w:val="nil"/>
              <w:right w:val="single" w:sz="4" w:space="0" w:color="auto"/>
            </w:tcBorders>
          </w:tcPr>
          <w:p w14:paraId="4002E81C"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50</w:t>
            </w:r>
          </w:p>
        </w:tc>
        <w:tc>
          <w:tcPr>
            <w:tcW w:w="1134" w:type="dxa"/>
            <w:tcBorders>
              <w:top w:val="nil"/>
              <w:left w:val="single" w:sz="4" w:space="0" w:color="auto"/>
              <w:bottom w:val="nil"/>
              <w:right w:val="single" w:sz="4" w:space="0" w:color="auto"/>
            </w:tcBorders>
          </w:tcPr>
          <w:p w14:paraId="4A8F53DC"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40</w:t>
            </w:r>
          </w:p>
        </w:tc>
        <w:tc>
          <w:tcPr>
            <w:tcW w:w="993" w:type="dxa"/>
            <w:tcBorders>
              <w:top w:val="nil"/>
              <w:left w:val="single" w:sz="4" w:space="0" w:color="auto"/>
              <w:bottom w:val="nil"/>
            </w:tcBorders>
          </w:tcPr>
          <w:p w14:paraId="77910904" w14:textId="77777777" w:rsidR="003101CC" w:rsidRPr="001F1765" w:rsidRDefault="00206481" w:rsidP="006B1FEA">
            <w:pPr>
              <w:pStyle w:val="TableParagraph"/>
              <w:jc w:val="center"/>
              <w:rPr>
                <w:rFonts w:cs="Times New Roman"/>
                <w:sz w:val="20"/>
                <w:szCs w:val="20"/>
              </w:rPr>
            </w:pPr>
            <w:r w:rsidRPr="001F1765">
              <w:rPr>
                <w:rFonts w:cs="Times New Roman"/>
                <w:w w:val="110"/>
                <w:sz w:val="20"/>
                <w:szCs w:val="20"/>
              </w:rPr>
              <w:t>70</w:t>
            </w:r>
          </w:p>
        </w:tc>
      </w:tr>
      <w:tr w:rsidR="00271040" w14:paraId="1FA07C2D" w14:textId="77777777" w:rsidTr="004D3DCA">
        <w:tc>
          <w:tcPr>
            <w:tcW w:w="4243" w:type="dxa"/>
            <w:tcBorders>
              <w:top w:val="nil"/>
              <w:bottom w:val="nil"/>
            </w:tcBorders>
            <w:vAlign w:val="center"/>
          </w:tcPr>
          <w:p w14:paraId="207C9755" w14:textId="77777777" w:rsidR="003101CC" w:rsidRPr="001F1765" w:rsidRDefault="00206481" w:rsidP="00F3037E">
            <w:pPr>
              <w:pStyle w:val="TableParagraph"/>
              <w:rPr>
                <w:rFonts w:cs="Times New Roman"/>
                <w:sz w:val="20"/>
                <w:szCs w:val="20"/>
              </w:rPr>
            </w:pPr>
            <w:r w:rsidRPr="001F1765">
              <w:rPr>
                <w:rFonts w:cs="Times New Roman"/>
                <w:sz w:val="20"/>
                <w:szCs w:val="20"/>
              </w:rPr>
              <w:t>Remaining replications of prototype</w:t>
            </w:r>
          </w:p>
        </w:tc>
        <w:tc>
          <w:tcPr>
            <w:tcW w:w="1417" w:type="dxa"/>
            <w:tcBorders>
              <w:top w:val="nil"/>
              <w:bottom w:val="nil"/>
              <w:right w:val="single" w:sz="4" w:space="0" w:color="auto"/>
            </w:tcBorders>
          </w:tcPr>
          <w:p w14:paraId="66C64B47"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40</w:t>
            </w:r>
          </w:p>
        </w:tc>
        <w:tc>
          <w:tcPr>
            <w:tcW w:w="1134" w:type="dxa"/>
            <w:tcBorders>
              <w:top w:val="nil"/>
              <w:left w:val="single" w:sz="4" w:space="0" w:color="auto"/>
              <w:bottom w:val="nil"/>
              <w:right w:val="single" w:sz="4" w:space="0" w:color="auto"/>
            </w:tcBorders>
          </w:tcPr>
          <w:p w14:paraId="6042D3DC"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30</w:t>
            </w:r>
          </w:p>
        </w:tc>
        <w:tc>
          <w:tcPr>
            <w:tcW w:w="993" w:type="dxa"/>
            <w:tcBorders>
              <w:top w:val="nil"/>
              <w:left w:val="single" w:sz="4" w:space="0" w:color="auto"/>
              <w:bottom w:val="nil"/>
            </w:tcBorders>
          </w:tcPr>
          <w:p w14:paraId="7EC67C6E"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65</w:t>
            </w:r>
          </w:p>
        </w:tc>
      </w:tr>
      <w:tr w:rsidR="00271040" w14:paraId="62C8B628" w14:textId="77777777" w:rsidTr="004D3DCA">
        <w:tc>
          <w:tcPr>
            <w:tcW w:w="4243" w:type="dxa"/>
            <w:tcBorders>
              <w:top w:val="nil"/>
              <w:bottom w:val="nil"/>
            </w:tcBorders>
            <w:vAlign w:val="center"/>
          </w:tcPr>
          <w:p w14:paraId="6AC899B2" w14:textId="77777777" w:rsidR="003101CC" w:rsidRPr="001F1765" w:rsidRDefault="00206481" w:rsidP="00F3037E">
            <w:pPr>
              <w:pStyle w:val="TableParagraph"/>
              <w:rPr>
                <w:rFonts w:cs="Times New Roman"/>
                <w:sz w:val="20"/>
                <w:szCs w:val="20"/>
              </w:rPr>
            </w:pPr>
            <w:r w:rsidRPr="001F1765">
              <w:rPr>
                <w:rFonts w:cs="Times New Roman"/>
                <w:sz w:val="20"/>
                <w:szCs w:val="20"/>
              </w:rPr>
              <w:t>Schedule of materials on projects for which</w:t>
            </w:r>
          </w:p>
        </w:tc>
        <w:tc>
          <w:tcPr>
            <w:tcW w:w="1417" w:type="dxa"/>
            <w:tcBorders>
              <w:top w:val="nil"/>
              <w:bottom w:val="nil"/>
              <w:right w:val="single" w:sz="4" w:space="0" w:color="auto"/>
            </w:tcBorders>
          </w:tcPr>
          <w:p w14:paraId="2CBD2937" w14:textId="77777777" w:rsidR="003101CC" w:rsidRPr="001F1765" w:rsidRDefault="003101CC" w:rsidP="006B1FEA">
            <w:pPr>
              <w:pStyle w:val="TableParagraph"/>
              <w:jc w:val="center"/>
              <w:rPr>
                <w:rFonts w:cs="Times New Roman"/>
                <w:sz w:val="20"/>
                <w:szCs w:val="20"/>
              </w:rPr>
            </w:pPr>
          </w:p>
        </w:tc>
        <w:tc>
          <w:tcPr>
            <w:tcW w:w="1134" w:type="dxa"/>
            <w:tcBorders>
              <w:top w:val="nil"/>
              <w:left w:val="single" w:sz="4" w:space="0" w:color="auto"/>
              <w:bottom w:val="nil"/>
              <w:right w:val="single" w:sz="4" w:space="0" w:color="auto"/>
            </w:tcBorders>
          </w:tcPr>
          <w:p w14:paraId="6FE2FE04" w14:textId="77777777" w:rsidR="003101CC" w:rsidRPr="001F1765" w:rsidRDefault="003101CC" w:rsidP="006B1FEA">
            <w:pPr>
              <w:pStyle w:val="TableParagraph"/>
              <w:jc w:val="center"/>
              <w:rPr>
                <w:rFonts w:cs="Times New Roman"/>
                <w:sz w:val="20"/>
                <w:szCs w:val="20"/>
              </w:rPr>
            </w:pPr>
          </w:p>
        </w:tc>
        <w:tc>
          <w:tcPr>
            <w:tcW w:w="993" w:type="dxa"/>
            <w:tcBorders>
              <w:top w:val="nil"/>
              <w:left w:val="single" w:sz="4" w:space="0" w:color="auto"/>
              <w:bottom w:val="nil"/>
            </w:tcBorders>
          </w:tcPr>
          <w:p w14:paraId="7237D3E4" w14:textId="77777777" w:rsidR="003101CC" w:rsidRPr="001F1765" w:rsidRDefault="003101CC" w:rsidP="006B1FEA">
            <w:pPr>
              <w:pStyle w:val="TableParagraph"/>
              <w:jc w:val="center"/>
              <w:rPr>
                <w:rFonts w:cs="Times New Roman"/>
                <w:sz w:val="20"/>
                <w:szCs w:val="20"/>
              </w:rPr>
            </w:pPr>
          </w:p>
        </w:tc>
      </w:tr>
      <w:tr w:rsidR="00271040" w14:paraId="66FBE495" w14:textId="77777777" w:rsidTr="004D3DCA">
        <w:tc>
          <w:tcPr>
            <w:tcW w:w="4243" w:type="dxa"/>
            <w:tcBorders>
              <w:top w:val="nil"/>
              <w:bottom w:val="nil"/>
            </w:tcBorders>
            <w:vAlign w:val="center"/>
          </w:tcPr>
          <w:p w14:paraId="4900FEC3" w14:textId="77777777" w:rsidR="003101CC" w:rsidRPr="001F1765" w:rsidRDefault="00206481" w:rsidP="00F3037E">
            <w:pPr>
              <w:pStyle w:val="TableParagraph"/>
              <w:rPr>
                <w:rFonts w:cs="Times New Roman"/>
                <w:sz w:val="20"/>
                <w:szCs w:val="20"/>
              </w:rPr>
            </w:pPr>
            <w:r w:rsidRPr="001F1765">
              <w:rPr>
                <w:rFonts w:cs="Times New Roman"/>
                <w:sz w:val="20"/>
                <w:szCs w:val="20"/>
              </w:rPr>
              <w:t>the quantity surveyor has not prepared bills</w:t>
            </w:r>
          </w:p>
        </w:tc>
        <w:tc>
          <w:tcPr>
            <w:tcW w:w="1417" w:type="dxa"/>
            <w:tcBorders>
              <w:top w:val="nil"/>
              <w:bottom w:val="nil"/>
              <w:right w:val="single" w:sz="4" w:space="0" w:color="auto"/>
            </w:tcBorders>
          </w:tcPr>
          <w:p w14:paraId="463A5DB3" w14:textId="77777777" w:rsidR="003101CC" w:rsidRPr="001F1765" w:rsidRDefault="003101CC" w:rsidP="006B1FEA">
            <w:pPr>
              <w:pStyle w:val="TableParagraph"/>
              <w:jc w:val="center"/>
              <w:rPr>
                <w:rFonts w:cs="Times New Roman"/>
                <w:sz w:val="20"/>
                <w:szCs w:val="20"/>
              </w:rPr>
            </w:pPr>
          </w:p>
        </w:tc>
        <w:tc>
          <w:tcPr>
            <w:tcW w:w="1134" w:type="dxa"/>
            <w:tcBorders>
              <w:top w:val="nil"/>
              <w:left w:val="single" w:sz="4" w:space="0" w:color="auto"/>
              <w:bottom w:val="nil"/>
              <w:right w:val="single" w:sz="4" w:space="0" w:color="auto"/>
            </w:tcBorders>
          </w:tcPr>
          <w:p w14:paraId="48297438" w14:textId="77777777" w:rsidR="003101CC" w:rsidRPr="001F1765" w:rsidRDefault="003101CC" w:rsidP="006B1FEA">
            <w:pPr>
              <w:pStyle w:val="TableParagraph"/>
              <w:jc w:val="center"/>
              <w:rPr>
                <w:rFonts w:cs="Times New Roman"/>
                <w:sz w:val="20"/>
                <w:szCs w:val="20"/>
              </w:rPr>
            </w:pPr>
          </w:p>
        </w:tc>
        <w:tc>
          <w:tcPr>
            <w:tcW w:w="993" w:type="dxa"/>
            <w:tcBorders>
              <w:top w:val="nil"/>
              <w:left w:val="single" w:sz="4" w:space="0" w:color="auto"/>
              <w:bottom w:val="nil"/>
            </w:tcBorders>
          </w:tcPr>
          <w:p w14:paraId="795C5A2A" w14:textId="77777777" w:rsidR="003101CC" w:rsidRPr="001F1765" w:rsidRDefault="003101CC" w:rsidP="006B1FEA">
            <w:pPr>
              <w:pStyle w:val="TableParagraph"/>
              <w:jc w:val="center"/>
              <w:rPr>
                <w:rFonts w:cs="Times New Roman"/>
                <w:sz w:val="20"/>
                <w:szCs w:val="20"/>
              </w:rPr>
            </w:pPr>
          </w:p>
        </w:tc>
      </w:tr>
      <w:tr w:rsidR="00271040" w14:paraId="20FE55AE" w14:textId="77777777" w:rsidTr="004D3DCA">
        <w:tc>
          <w:tcPr>
            <w:tcW w:w="4243" w:type="dxa"/>
            <w:tcBorders>
              <w:top w:val="nil"/>
              <w:bottom w:val="nil"/>
            </w:tcBorders>
            <w:vAlign w:val="center"/>
          </w:tcPr>
          <w:p w14:paraId="687D148C" w14:textId="77777777" w:rsidR="003101CC" w:rsidRPr="001F1765" w:rsidRDefault="00206481" w:rsidP="00F3037E">
            <w:pPr>
              <w:pStyle w:val="TableParagraph"/>
              <w:rPr>
                <w:rFonts w:cs="Times New Roman"/>
                <w:sz w:val="20"/>
                <w:szCs w:val="20"/>
              </w:rPr>
            </w:pPr>
            <w:r w:rsidRPr="001F1765">
              <w:rPr>
                <w:rFonts w:cs="Times New Roman"/>
                <w:sz w:val="20"/>
                <w:szCs w:val="20"/>
              </w:rPr>
              <w:t>of quantities</w:t>
            </w:r>
          </w:p>
        </w:tc>
        <w:tc>
          <w:tcPr>
            <w:tcW w:w="1417" w:type="dxa"/>
            <w:tcBorders>
              <w:top w:val="nil"/>
              <w:bottom w:val="nil"/>
              <w:right w:val="single" w:sz="4" w:space="0" w:color="auto"/>
            </w:tcBorders>
          </w:tcPr>
          <w:p w14:paraId="218A38B2" w14:textId="77777777" w:rsidR="003101CC" w:rsidRPr="001F1765" w:rsidRDefault="00206481" w:rsidP="006B1FEA">
            <w:pPr>
              <w:pStyle w:val="TableParagraph"/>
              <w:jc w:val="center"/>
              <w:rPr>
                <w:rFonts w:cs="Times New Roman"/>
                <w:sz w:val="20"/>
                <w:szCs w:val="20"/>
              </w:rPr>
            </w:pPr>
            <w:r w:rsidRPr="001F1765">
              <w:rPr>
                <w:rFonts w:cs="Times New Roman"/>
                <w:sz w:val="20"/>
                <w:szCs w:val="20"/>
              </w:rPr>
              <w:t>120**</w:t>
            </w:r>
          </w:p>
        </w:tc>
        <w:tc>
          <w:tcPr>
            <w:tcW w:w="1134" w:type="dxa"/>
            <w:tcBorders>
              <w:top w:val="nil"/>
              <w:left w:val="single" w:sz="4" w:space="0" w:color="auto"/>
              <w:bottom w:val="nil"/>
              <w:right w:val="single" w:sz="4" w:space="0" w:color="auto"/>
            </w:tcBorders>
          </w:tcPr>
          <w:p w14:paraId="4EADC57A" w14:textId="77777777" w:rsidR="003101CC" w:rsidRPr="001F1765" w:rsidRDefault="00206481" w:rsidP="006B1FEA">
            <w:pPr>
              <w:pStyle w:val="TableParagraph"/>
              <w:jc w:val="center"/>
              <w:rPr>
                <w:rFonts w:cs="Times New Roman"/>
                <w:sz w:val="20"/>
                <w:szCs w:val="20"/>
              </w:rPr>
            </w:pPr>
            <w:r w:rsidRPr="001F1765">
              <w:rPr>
                <w:rFonts w:cs="Times New Roman"/>
                <w:sz w:val="20"/>
                <w:szCs w:val="20"/>
              </w:rPr>
              <w:t>120**</w:t>
            </w:r>
          </w:p>
        </w:tc>
        <w:tc>
          <w:tcPr>
            <w:tcW w:w="993" w:type="dxa"/>
            <w:tcBorders>
              <w:top w:val="nil"/>
              <w:left w:val="single" w:sz="4" w:space="0" w:color="auto"/>
              <w:bottom w:val="nil"/>
            </w:tcBorders>
          </w:tcPr>
          <w:p w14:paraId="7B7DB7BA"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120**</w:t>
            </w:r>
          </w:p>
        </w:tc>
      </w:tr>
      <w:tr w:rsidR="00271040" w14:paraId="778A780A" w14:textId="77777777" w:rsidTr="004D3DCA">
        <w:tc>
          <w:tcPr>
            <w:tcW w:w="4243" w:type="dxa"/>
            <w:tcBorders>
              <w:top w:val="nil"/>
            </w:tcBorders>
            <w:vAlign w:val="center"/>
          </w:tcPr>
          <w:p w14:paraId="5829B878" w14:textId="77777777" w:rsidR="003101CC" w:rsidRPr="001F1765" w:rsidRDefault="00206481" w:rsidP="00F3037E">
            <w:pPr>
              <w:pStyle w:val="TableParagraph"/>
              <w:rPr>
                <w:rFonts w:cs="Times New Roman"/>
                <w:b/>
                <w:sz w:val="20"/>
                <w:szCs w:val="20"/>
              </w:rPr>
            </w:pPr>
            <w:r w:rsidRPr="001F1765">
              <w:rPr>
                <w:rFonts w:cs="Times New Roman"/>
                <w:b/>
                <w:w w:val="105"/>
                <w:sz w:val="20"/>
                <w:szCs w:val="20"/>
              </w:rPr>
              <w:t>Small or simple building works</w:t>
            </w:r>
          </w:p>
        </w:tc>
        <w:tc>
          <w:tcPr>
            <w:tcW w:w="1417" w:type="dxa"/>
            <w:tcBorders>
              <w:top w:val="nil"/>
              <w:right w:val="single" w:sz="4" w:space="0" w:color="auto"/>
            </w:tcBorders>
          </w:tcPr>
          <w:p w14:paraId="5396BFA4"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75</w:t>
            </w:r>
          </w:p>
        </w:tc>
        <w:tc>
          <w:tcPr>
            <w:tcW w:w="1134" w:type="dxa"/>
            <w:tcBorders>
              <w:top w:val="nil"/>
              <w:left w:val="single" w:sz="4" w:space="0" w:color="auto"/>
              <w:right w:val="single" w:sz="4" w:space="0" w:color="auto"/>
            </w:tcBorders>
          </w:tcPr>
          <w:p w14:paraId="5942CD92" w14:textId="77777777" w:rsidR="003101CC" w:rsidRPr="001F1765" w:rsidRDefault="00206481" w:rsidP="006B1FEA">
            <w:pPr>
              <w:pStyle w:val="TableParagraph"/>
              <w:jc w:val="center"/>
              <w:rPr>
                <w:rFonts w:cs="Times New Roman"/>
                <w:sz w:val="20"/>
                <w:szCs w:val="20"/>
              </w:rPr>
            </w:pPr>
            <w:r w:rsidRPr="001F1765">
              <w:rPr>
                <w:rFonts w:cs="Times New Roman"/>
                <w:w w:val="105"/>
                <w:sz w:val="20"/>
                <w:szCs w:val="20"/>
              </w:rPr>
              <w:t>n/a</w:t>
            </w:r>
          </w:p>
        </w:tc>
        <w:tc>
          <w:tcPr>
            <w:tcW w:w="993" w:type="dxa"/>
            <w:tcBorders>
              <w:top w:val="nil"/>
              <w:left w:val="single" w:sz="4" w:space="0" w:color="auto"/>
            </w:tcBorders>
          </w:tcPr>
          <w:p w14:paraId="72D52F74" w14:textId="77777777" w:rsidR="003101CC" w:rsidRPr="001F1765" w:rsidRDefault="00206481" w:rsidP="006B1FEA">
            <w:pPr>
              <w:pStyle w:val="TableParagraph"/>
              <w:jc w:val="center"/>
              <w:rPr>
                <w:rFonts w:cs="Times New Roman"/>
                <w:sz w:val="20"/>
                <w:szCs w:val="20"/>
              </w:rPr>
            </w:pPr>
            <w:r w:rsidRPr="001F1765">
              <w:rPr>
                <w:rFonts w:cs="Times New Roman"/>
                <w:sz w:val="20"/>
                <w:szCs w:val="20"/>
              </w:rPr>
              <w:t>n/a</w:t>
            </w:r>
          </w:p>
        </w:tc>
      </w:tr>
    </w:tbl>
    <w:p w14:paraId="162BFE10" w14:textId="77777777" w:rsidR="003101CC" w:rsidRDefault="003101CC" w:rsidP="003101CC">
      <w:pPr>
        <w:pStyle w:val="BodyText"/>
        <w:spacing w:before="3"/>
        <w:rPr>
          <w:sz w:val="14"/>
        </w:rPr>
      </w:pPr>
    </w:p>
    <w:p w14:paraId="30BE6AFA" w14:textId="2BC0FA33" w:rsidR="003101CC" w:rsidRDefault="00206481" w:rsidP="001F1765">
      <w:pPr>
        <w:pStyle w:val="REG-P0"/>
        <w:ind w:left="567" w:hanging="567"/>
      </w:pPr>
      <w:r>
        <w:t>*</w:t>
      </w:r>
      <w:r>
        <w:tab/>
      </w:r>
      <w:r w:rsidRPr="001F1765">
        <w:t xml:space="preserve">Exclusions mentioned in subparagraph (c) of the definition of </w:t>
      </w:r>
      <w:r>
        <w:t>“</w:t>
      </w:r>
      <w:r w:rsidRPr="001F1765">
        <w:t>final value of the contract</w:t>
      </w:r>
      <w:r>
        <w:t xml:space="preserve">” </w:t>
      </w:r>
      <w:r w:rsidRPr="001F1765">
        <w:t xml:space="preserve">as set out in paragraph </w:t>
      </w:r>
      <w:r>
        <w:t>1</w:t>
      </w:r>
      <w:r w:rsidRPr="001F1765">
        <w:t xml:space="preserve"> not applicable.</w:t>
      </w:r>
    </w:p>
    <w:p w14:paraId="141AD762" w14:textId="77777777" w:rsidR="003101CC" w:rsidRPr="001F1765" w:rsidRDefault="00206481" w:rsidP="001F1765">
      <w:pPr>
        <w:pStyle w:val="REG-P0"/>
      </w:pPr>
      <w:r w:rsidRPr="001F1765">
        <w:t>**</w:t>
      </w:r>
      <w:r w:rsidRPr="001F1765">
        <w:tab/>
        <w:t>Calculated on the total value of such materials.</w:t>
      </w:r>
    </w:p>
    <w:p w14:paraId="64C586EB" w14:textId="77777777" w:rsidR="003101CC" w:rsidRPr="001F1765" w:rsidRDefault="003101CC" w:rsidP="001F1765">
      <w:pPr>
        <w:pStyle w:val="REG-P1"/>
      </w:pPr>
    </w:p>
    <w:p w14:paraId="08D5C7AE" w14:textId="77777777" w:rsidR="003101CC" w:rsidRPr="00B60A07" w:rsidRDefault="00206481" w:rsidP="00B60A07">
      <w:pPr>
        <w:pStyle w:val="REG-P1"/>
      </w:pPr>
      <w:r w:rsidRPr="00B60A07">
        <w:t>(6)</w:t>
      </w:r>
      <w:r w:rsidRPr="00B60A07">
        <w:tab/>
        <w:t xml:space="preserve">An </w:t>
      </w:r>
      <w:r w:rsidRPr="00B60A07">
        <w:rPr>
          <w:b/>
        </w:rPr>
        <w:t>additional fee</w:t>
      </w:r>
      <w:r w:rsidRPr="00B60A07">
        <w:t xml:space="preserve"> shall be charged in respect of the following:</w:t>
      </w:r>
    </w:p>
    <w:p w14:paraId="0C5A1DAE" w14:textId="77777777" w:rsidR="001F1765" w:rsidRPr="001F1765" w:rsidRDefault="001F1765" w:rsidP="001F1765">
      <w:pPr>
        <w:pStyle w:val="REG-P1"/>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9"/>
        <w:gridCol w:w="4678"/>
      </w:tblGrid>
      <w:tr w:rsidR="00271040" w14:paraId="25840A4C" w14:textId="77777777" w:rsidTr="0028406D">
        <w:trPr>
          <w:trHeight w:val="518"/>
        </w:trPr>
        <w:tc>
          <w:tcPr>
            <w:tcW w:w="3109" w:type="dxa"/>
            <w:tcBorders>
              <w:bottom w:val="single" w:sz="4" w:space="0" w:color="000000"/>
            </w:tcBorders>
          </w:tcPr>
          <w:p w14:paraId="783149EA" w14:textId="77777777" w:rsidR="003101CC" w:rsidRPr="001F1765" w:rsidRDefault="00206481" w:rsidP="001F1765">
            <w:pPr>
              <w:pStyle w:val="TableParagraph"/>
              <w:ind w:left="1017" w:right="1008"/>
              <w:jc w:val="center"/>
              <w:rPr>
                <w:sz w:val="20"/>
                <w:szCs w:val="20"/>
              </w:rPr>
            </w:pPr>
            <w:r w:rsidRPr="001F1765">
              <w:rPr>
                <w:sz w:val="20"/>
                <w:szCs w:val="20"/>
              </w:rPr>
              <w:t>Category</w:t>
            </w:r>
          </w:p>
        </w:tc>
        <w:tc>
          <w:tcPr>
            <w:tcW w:w="4678" w:type="dxa"/>
            <w:tcBorders>
              <w:bottom w:val="single" w:sz="4" w:space="0" w:color="000000"/>
            </w:tcBorders>
          </w:tcPr>
          <w:p w14:paraId="15ED8E92" w14:textId="77777777" w:rsidR="003101CC" w:rsidRPr="001F1765" w:rsidRDefault="00206481" w:rsidP="001F1765">
            <w:pPr>
              <w:pStyle w:val="TableParagraph"/>
              <w:ind w:left="561" w:right="560"/>
              <w:jc w:val="center"/>
              <w:rPr>
                <w:sz w:val="20"/>
                <w:szCs w:val="20"/>
              </w:rPr>
            </w:pPr>
            <w:r w:rsidRPr="001F1765">
              <w:rPr>
                <w:sz w:val="20"/>
                <w:szCs w:val="20"/>
              </w:rPr>
              <w:t>Percentage of fee calculated in accordance</w:t>
            </w:r>
          </w:p>
          <w:p w14:paraId="5583348E" w14:textId="77777777" w:rsidR="003101CC" w:rsidRPr="001F1765" w:rsidRDefault="00206481" w:rsidP="001F1765">
            <w:pPr>
              <w:pStyle w:val="TableParagraph"/>
              <w:spacing w:before="28" w:line="229" w:lineRule="exact"/>
              <w:ind w:left="561" w:right="553"/>
              <w:jc w:val="center"/>
              <w:rPr>
                <w:sz w:val="20"/>
                <w:szCs w:val="20"/>
              </w:rPr>
            </w:pPr>
            <w:r w:rsidRPr="001F1765">
              <w:rPr>
                <w:w w:val="105"/>
                <w:sz w:val="20"/>
                <w:szCs w:val="20"/>
              </w:rPr>
              <w:t>with subparagraphs (4) and (5)</w:t>
            </w:r>
          </w:p>
        </w:tc>
      </w:tr>
      <w:tr w:rsidR="00271040" w14:paraId="2135DBE9" w14:textId="77777777" w:rsidTr="0028406D">
        <w:trPr>
          <w:trHeight w:val="254"/>
        </w:trPr>
        <w:tc>
          <w:tcPr>
            <w:tcW w:w="3109" w:type="dxa"/>
            <w:tcBorders>
              <w:top w:val="single" w:sz="4" w:space="0" w:color="000000"/>
              <w:bottom w:val="single" w:sz="4" w:space="0" w:color="000000"/>
            </w:tcBorders>
          </w:tcPr>
          <w:p w14:paraId="558BCFDD" w14:textId="77777777" w:rsidR="003101CC" w:rsidRPr="001F1765" w:rsidRDefault="00206481" w:rsidP="001F1765">
            <w:pPr>
              <w:pStyle w:val="TableParagraph"/>
              <w:spacing w:before="20" w:line="214" w:lineRule="exact"/>
              <w:ind w:left="22"/>
              <w:jc w:val="center"/>
              <w:rPr>
                <w:sz w:val="20"/>
                <w:szCs w:val="20"/>
              </w:rPr>
            </w:pPr>
            <w:r w:rsidRPr="001F1765">
              <w:rPr>
                <w:w w:val="77"/>
                <w:sz w:val="20"/>
                <w:szCs w:val="20"/>
              </w:rPr>
              <w:t>1</w:t>
            </w:r>
          </w:p>
        </w:tc>
        <w:tc>
          <w:tcPr>
            <w:tcW w:w="4678" w:type="dxa"/>
            <w:tcBorders>
              <w:top w:val="single" w:sz="4" w:space="0" w:color="000000"/>
              <w:bottom w:val="single" w:sz="4" w:space="0" w:color="000000"/>
            </w:tcBorders>
          </w:tcPr>
          <w:p w14:paraId="6FB22B59" w14:textId="77777777" w:rsidR="003101CC" w:rsidRPr="001F1765" w:rsidRDefault="00206481" w:rsidP="001F1765">
            <w:pPr>
              <w:pStyle w:val="TableParagraph"/>
              <w:spacing w:before="15" w:line="219" w:lineRule="exact"/>
              <w:ind w:left="5"/>
              <w:jc w:val="center"/>
              <w:rPr>
                <w:sz w:val="20"/>
                <w:szCs w:val="20"/>
              </w:rPr>
            </w:pPr>
            <w:r w:rsidRPr="001F1765">
              <w:rPr>
                <w:w w:val="108"/>
                <w:sz w:val="20"/>
                <w:szCs w:val="20"/>
              </w:rPr>
              <w:t>2</w:t>
            </w:r>
          </w:p>
        </w:tc>
      </w:tr>
      <w:tr w:rsidR="00271040" w14:paraId="61DEFA84" w14:textId="77777777" w:rsidTr="0028406D">
        <w:trPr>
          <w:trHeight w:val="1393"/>
        </w:trPr>
        <w:tc>
          <w:tcPr>
            <w:tcW w:w="3109" w:type="dxa"/>
            <w:tcBorders>
              <w:top w:val="single" w:sz="4" w:space="0" w:color="000000"/>
            </w:tcBorders>
          </w:tcPr>
          <w:p w14:paraId="2A4246BF" w14:textId="77777777" w:rsidR="003101CC" w:rsidRPr="001F1765" w:rsidRDefault="00206481" w:rsidP="001F1765">
            <w:pPr>
              <w:pStyle w:val="TableParagraph"/>
              <w:spacing w:before="44"/>
              <w:ind w:left="106"/>
              <w:rPr>
                <w:b/>
                <w:sz w:val="20"/>
                <w:szCs w:val="20"/>
              </w:rPr>
            </w:pPr>
            <w:r w:rsidRPr="001F1765">
              <w:rPr>
                <w:b/>
                <w:w w:val="105"/>
                <w:sz w:val="20"/>
                <w:szCs w:val="20"/>
              </w:rPr>
              <w:t>Cost norms</w:t>
            </w:r>
          </w:p>
          <w:p w14:paraId="4BA0E3B4" w14:textId="77777777" w:rsidR="003101CC" w:rsidRPr="001F1765" w:rsidRDefault="003101CC" w:rsidP="001F1765">
            <w:pPr>
              <w:pStyle w:val="TableParagraph"/>
              <w:rPr>
                <w:sz w:val="20"/>
                <w:szCs w:val="20"/>
              </w:rPr>
            </w:pPr>
          </w:p>
          <w:p w14:paraId="764C53D1" w14:textId="77777777" w:rsidR="003101CC" w:rsidRPr="001F1765" w:rsidRDefault="003101CC" w:rsidP="001F1765">
            <w:pPr>
              <w:pStyle w:val="TableParagraph"/>
              <w:rPr>
                <w:sz w:val="20"/>
                <w:szCs w:val="20"/>
              </w:rPr>
            </w:pPr>
          </w:p>
          <w:p w14:paraId="69387A8D" w14:textId="77777777" w:rsidR="003101CC" w:rsidRPr="001F1765" w:rsidRDefault="003101CC" w:rsidP="001F1765">
            <w:pPr>
              <w:pStyle w:val="TableParagraph"/>
              <w:spacing w:before="6"/>
              <w:rPr>
                <w:sz w:val="20"/>
                <w:szCs w:val="20"/>
              </w:rPr>
            </w:pPr>
          </w:p>
          <w:p w14:paraId="36C2565B" w14:textId="77777777" w:rsidR="003101CC" w:rsidRPr="001F1765" w:rsidRDefault="00206481" w:rsidP="001F1765">
            <w:pPr>
              <w:pStyle w:val="TableParagraph"/>
              <w:ind w:left="106"/>
              <w:rPr>
                <w:b/>
                <w:sz w:val="20"/>
                <w:szCs w:val="20"/>
              </w:rPr>
            </w:pPr>
            <w:r w:rsidRPr="001F1765">
              <w:rPr>
                <w:b/>
                <w:w w:val="105"/>
                <w:sz w:val="20"/>
                <w:szCs w:val="20"/>
              </w:rPr>
              <w:t>Locational bills of quantities</w:t>
            </w:r>
          </w:p>
        </w:tc>
        <w:tc>
          <w:tcPr>
            <w:tcW w:w="4678" w:type="dxa"/>
            <w:tcBorders>
              <w:top w:val="single" w:sz="4" w:space="0" w:color="000000"/>
            </w:tcBorders>
          </w:tcPr>
          <w:p w14:paraId="5877A072" w14:textId="77777777" w:rsidR="003101CC" w:rsidRPr="001F1765" w:rsidRDefault="00206481" w:rsidP="001F1765">
            <w:pPr>
              <w:pStyle w:val="TableParagraph"/>
              <w:spacing w:before="39" w:line="261" w:lineRule="auto"/>
              <w:ind w:left="98" w:right="39" w:hanging="1"/>
              <w:jc w:val="both"/>
              <w:rPr>
                <w:sz w:val="20"/>
                <w:szCs w:val="20"/>
              </w:rPr>
            </w:pPr>
            <w:r w:rsidRPr="001F1765">
              <w:rPr>
                <w:sz w:val="20"/>
                <w:szCs w:val="20"/>
              </w:rPr>
              <w:t>7% (exclusions mentioned in subparagraph (c) of the definition of "final value of the contract" as set out in paragraph 1 not</w:t>
            </w:r>
            <w:r w:rsidRPr="001F1765">
              <w:rPr>
                <w:spacing w:val="51"/>
                <w:sz w:val="20"/>
                <w:szCs w:val="20"/>
              </w:rPr>
              <w:t xml:space="preserve"> </w:t>
            </w:r>
            <w:r w:rsidRPr="001F1765">
              <w:rPr>
                <w:sz w:val="20"/>
                <w:szCs w:val="20"/>
              </w:rPr>
              <w:t>applicable)</w:t>
            </w:r>
          </w:p>
          <w:p w14:paraId="005328E2" w14:textId="77777777" w:rsidR="003101CC" w:rsidRPr="001F1765" w:rsidRDefault="003101CC" w:rsidP="001F1765">
            <w:pPr>
              <w:pStyle w:val="TableParagraph"/>
              <w:spacing w:before="3"/>
              <w:rPr>
                <w:sz w:val="20"/>
                <w:szCs w:val="20"/>
              </w:rPr>
            </w:pPr>
          </w:p>
          <w:p w14:paraId="1154160F" w14:textId="77777777" w:rsidR="003101CC" w:rsidRPr="001F1765" w:rsidRDefault="00206481" w:rsidP="001F1765">
            <w:pPr>
              <w:pStyle w:val="TableParagraph"/>
              <w:ind w:left="113"/>
              <w:rPr>
                <w:sz w:val="20"/>
                <w:szCs w:val="20"/>
              </w:rPr>
            </w:pPr>
            <w:r w:rsidRPr="001F1765">
              <w:rPr>
                <w:sz w:val="20"/>
                <w:szCs w:val="20"/>
              </w:rPr>
              <w:t>Negotiated</w:t>
            </w:r>
          </w:p>
        </w:tc>
      </w:tr>
    </w:tbl>
    <w:p w14:paraId="423D8395" w14:textId="77777777" w:rsidR="003101CC" w:rsidRDefault="003101CC" w:rsidP="003101CC">
      <w:pPr>
        <w:pStyle w:val="REG-P0"/>
      </w:pPr>
    </w:p>
    <w:p w14:paraId="4CEDD12E" w14:textId="77777777" w:rsidR="003101CC" w:rsidRPr="00B60A07" w:rsidRDefault="00206481" w:rsidP="00B60A07">
      <w:pPr>
        <w:pStyle w:val="REG-P1"/>
      </w:pPr>
      <w:r w:rsidRPr="00B60A07">
        <w:t>(</w:t>
      </w:r>
      <w:r w:rsidR="001F1765" w:rsidRPr="00B60A07">
        <w:t>7</w:t>
      </w:r>
      <w:r w:rsidRPr="00B60A07">
        <w:t>)</w:t>
      </w:r>
      <w:r w:rsidRPr="00B60A07">
        <w:tab/>
        <w:t xml:space="preserve">The </w:t>
      </w:r>
      <w:r w:rsidRPr="00B60A07">
        <w:rPr>
          <w:b/>
        </w:rPr>
        <w:t xml:space="preserve">fee </w:t>
      </w:r>
      <w:r w:rsidRPr="00B60A07">
        <w:t>shall be apportioned to the stages as follows:</w:t>
      </w:r>
    </w:p>
    <w:p w14:paraId="5A7EBAAF" w14:textId="77777777" w:rsidR="003101CC" w:rsidRDefault="003101CC" w:rsidP="003101CC">
      <w:pPr>
        <w:pStyle w:val="REG-P0"/>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85"/>
        <w:gridCol w:w="1100"/>
        <w:gridCol w:w="1101"/>
        <w:gridCol w:w="1100"/>
        <w:gridCol w:w="1101"/>
      </w:tblGrid>
      <w:tr w:rsidR="00271040" w14:paraId="2C1B0650" w14:textId="77777777" w:rsidTr="007C501F">
        <w:tc>
          <w:tcPr>
            <w:tcW w:w="3385" w:type="dxa"/>
            <w:vMerge w:val="restart"/>
            <w:tcBorders>
              <w:top w:val="single" w:sz="8" w:space="0" w:color="auto"/>
              <w:left w:val="single" w:sz="8" w:space="0" w:color="auto"/>
            </w:tcBorders>
            <w:tcMar>
              <w:left w:w="68" w:type="dxa"/>
              <w:right w:w="68" w:type="dxa"/>
            </w:tcMar>
            <w:vAlign w:val="center"/>
          </w:tcPr>
          <w:p w14:paraId="4ACCB7C5" w14:textId="77777777" w:rsidR="003101CC" w:rsidRPr="001F1765" w:rsidRDefault="00206481" w:rsidP="00AC0703">
            <w:pPr>
              <w:pStyle w:val="TableParagraph"/>
              <w:jc w:val="center"/>
              <w:rPr>
                <w:rFonts w:cs="Times New Roman"/>
                <w:sz w:val="20"/>
                <w:szCs w:val="20"/>
              </w:rPr>
            </w:pPr>
            <w:r w:rsidRPr="001F1765">
              <w:rPr>
                <w:rFonts w:cs="Times New Roman"/>
                <w:w w:val="105"/>
                <w:sz w:val="20"/>
                <w:szCs w:val="20"/>
              </w:rPr>
              <w:t>Category</w:t>
            </w:r>
          </w:p>
        </w:tc>
        <w:tc>
          <w:tcPr>
            <w:tcW w:w="4402" w:type="dxa"/>
            <w:gridSpan w:val="4"/>
            <w:tcBorders>
              <w:top w:val="single" w:sz="8" w:space="0" w:color="auto"/>
              <w:bottom w:val="single" w:sz="4" w:space="0" w:color="000000"/>
              <w:right w:val="single" w:sz="8" w:space="0" w:color="auto"/>
            </w:tcBorders>
            <w:vAlign w:val="center"/>
          </w:tcPr>
          <w:p w14:paraId="2AB2E57F" w14:textId="77777777" w:rsidR="003101CC" w:rsidRPr="001F1765" w:rsidRDefault="00206481" w:rsidP="00AC0703">
            <w:pPr>
              <w:pStyle w:val="TableParagraph"/>
              <w:jc w:val="center"/>
              <w:rPr>
                <w:rFonts w:cs="Times New Roman"/>
                <w:b/>
                <w:sz w:val="20"/>
                <w:szCs w:val="20"/>
              </w:rPr>
            </w:pPr>
            <w:r w:rsidRPr="001F1765">
              <w:rPr>
                <w:rFonts w:cs="Times New Roman"/>
                <w:b/>
                <w:w w:val="110"/>
                <w:sz w:val="20"/>
                <w:szCs w:val="20"/>
              </w:rPr>
              <w:t>Percentage of</w:t>
            </w:r>
            <w:r w:rsidR="001F1765">
              <w:rPr>
                <w:rFonts w:cs="Times New Roman"/>
                <w:b/>
                <w:w w:val="110"/>
                <w:sz w:val="20"/>
                <w:szCs w:val="20"/>
              </w:rPr>
              <w:t xml:space="preserve"> </w:t>
            </w:r>
            <w:r w:rsidRPr="001F1765">
              <w:rPr>
                <w:rFonts w:cs="Times New Roman"/>
                <w:b/>
                <w:w w:val="110"/>
                <w:sz w:val="20"/>
                <w:szCs w:val="20"/>
              </w:rPr>
              <w:t>fee</w:t>
            </w:r>
          </w:p>
        </w:tc>
      </w:tr>
      <w:tr w:rsidR="00271040" w14:paraId="4D1228A1" w14:textId="77777777" w:rsidTr="007C501F">
        <w:tc>
          <w:tcPr>
            <w:tcW w:w="3385" w:type="dxa"/>
            <w:vMerge/>
            <w:tcBorders>
              <w:top w:val="nil"/>
              <w:left w:val="single" w:sz="8" w:space="0" w:color="auto"/>
            </w:tcBorders>
            <w:tcMar>
              <w:left w:w="68" w:type="dxa"/>
              <w:right w:w="68" w:type="dxa"/>
            </w:tcMar>
            <w:vAlign w:val="center"/>
          </w:tcPr>
          <w:p w14:paraId="23CE085A" w14:textId="77777777" w:rsidR="003101CC" w:rsidRPr="001F1765" w:rsidRDefault="003101CC" w:rsidP="00AC0703">
            <w:pPr>
              <w:jc w:val="center"/>
              <w:rPr>
                <w:rFonts w:cs="Times New Roman"/>
                <w:sz w:val="20"/>
                <w:szCs w:val="20"/>
              </w:rPr>
            </w:pPr>
          </w:p>
        </w:tc>
        <w:tc>
          <w:tcPr>
            <w:tcW w:w="1100" w:type="dxa"/>
            <w:tcBorders>
              <w:top w:val="single" w:sz="4" w:space="0" w:color="000000"/>
              <w:bottom w:val="single" w:sz="4" w:space="0" w:color="000000"/>
              <w:right w:val="single" w:sz="4" w:space="0" w:color="auto"/>
            </w:tcBorders>
          </w:tcPr>
          <w:p w14:paraId="32231DA4" w14:textId="78FF3DA8" w:rsidR="003101CC" w:rsidRPr="001F1765" w:rsidRDefault="00206481" w:rsidP="00AC0703">
            <w:pPr>
              <w:pStyle w:val="TableParagraph"/>
              <w:jc w:val="center"/>
              <w:rPr>
                <w:rFonts w:cs="Times New Roman"/>
                <w:sz w:val="20"/>
                <w:szCs w:val="20"/>
              </w:rPr>
            </w:pPr>
            <w:r w:rsidRPr="001F1765">
              <w:rPr>
                <w:rFonts w:cs="Times New Roman"/>
                <w:b/>
                <w:w w:val="105"/>
                <w:sz w:val="20"/>
                <w:szCs w:val="20"/>
              </w:rPr>
              <w:t xml:space="preserve">Stage A </w:t>
            </w:r>
            <w:r w:rsidRPr="001F1765">
              <w:rPr>
                <w:rFonts w:cs="Times New Roman"/>
                <w:w w:val="105"/>
                <w:sz w:val="20"/>
                <w:szCs w:val="20"/>
              </w:rPr>
              <w:t xml:space="preserve">Estimating and cost advice </w:t>
            </w:r>
            <w:r w:rsidR="005605BE">
              <w:rPr>
                <w:rFonts w:cs="Times New Roman"/>
                <w:w w:val="105"/>
                <w:sz w:val="20"/>
                <w:szCs w:val="20"/>
              </w:rPr>
              <w:br/>
            </w:r>
            <w:r w:rsidRPr="001F1765">
              <w:rPr>
                <w:rFonts w:cs="Times New Roman"/>
                <w:w w:val="105"/>
                <w:sz w:val="20"/>
                <w:szCs w:val="20"/>
              </w:rPr>
              <w:t>stage</w:t>
            </w:r>
          </w:p>
        </w:tc>
        <w:tc>
          <w:tcPr>
            <w:tcW w:w="1101" w:type="dxa"/>
            <w:tcBorders>
              <w:top w:val="single" w:sz="4" w:space="0" w:color="000000"/>
              <w:left w:val="single" w:sz="4" w:space="0" w:color="auto"/>
              <w:bottom w:val="single" w:sz="4" w:space="0" w:color="000000"/>
              <w:right w:val="single" w:sz="4" w:space="0" w:color="auto"/>
            </w:tcBorders>
          </w:tcPr>
          <w:p w14:paraId="0834F838" w14:textId="4B2EBE21" w:rsidR="003101CC" w:rsidRPr="001F1765" w:rsidRDefault="00206481" w:rsidP="00AC0703">
            <w:pPr>
              <w:pStyle w:val="TableParagraph"/>
              <w:jc w:val="center"/>
              <w:rPr>
                <w:rFonts w:cs="Times New Roman"/>
                <w:sz w:val="20"/>
                <w:szCs w:val="20"/>
              </w:rPr>
            </w:pPr>
            <w:r w:rsidRPr="001F1765">
              <w:rPr>
                <w:rFonts w:cs="Times New Roman"/>
                <w:b/>
                <w:w w:val="105"/>
                <w:sz w:val="20"/>
                <w:szCs w:val="20"/>
              </w:rPr>
              <w:t xml:space="preserve">Stage B </w:t>
            </w:r>
            <w:r w:rsidRPr="001F1765">
              <w:rPr>
                <w:rFonts w:cs="Times New Roman"/>
                <w:w w:val="105"/>
                <w:sz w:val="20"/>
                <w:szCs w:val="20"/>
              </w:rPr>
              <w:t xml:space="preserve">Documen- tation </w:t>
            </w:r>
            <w:r w:rsidR="00BE1305">
              <w:rPr>
                <w:rFonts w:cs="Times New Roman"/>
                <w:w w:val="105"/>
                <w:sz w:val="20"/>
                <w:szCs w:val="20"/>
              </w:rPr>
              <w:br/>
            </w:r>
            <w:r w:rsidRPr="001F1765">
              <w:rPr>
                <w:rFonts w:cs="Times New Roman"/>
                <w:w w:val="105"/>
                <w:sz w:val="20"/>
                <w:szCs w:val="20"/>
              </w:rPr>
              <w:t>stage</w:t>
            </w:r>
          </w:p>
        </w:tc>
        <w:tc>
          <w:tcPr>
            <w:tcW w:w="1100" w:type="dxa"/>
            <w:tcBorders>
              <w:top w:val="single" w:sz="4" w:space="0" w:color="000000"/>
              <w:left w:val="single" w:sz="4" w:space="0" w:color="auto"/>
              <w:bottom w:val="single" w:sz="4" w:space="0" w:color="000000"/>
              <w:right w:val="single" w:sz="4" w:space="0" w:color="auto"/>
            </w:tcBorders>
          </w:tcPr>
          <w:p w14:paraId="73233570" w14:textId="568BC400" w:rsidR="003101CC" w:rsidRPr="001F1765" w:rsidRDefault="00206481" w:rsidP="00AC0703">
            <w:pPr>
              <w:pStyle w:val="TableParagraph"/>
              <w:jc w:val="center"/>
              <w:rPr>
                <w:rFonts w:cs="Times New Roman"/>
                <w:sz w:val="20"/>
                <w:szCs w:val="20"/>
              </w:rPr>
            </w:pPr>
            <w:r w:rsidRPr="001F1765">
              <w:rPr>
                <w:rFonts w:cs="Times New Roman"/>
                <w:b/>
                <w:w w:val="110"/>
                <w:sz w:val="20"/>
                <w:szCs w:val="20"/>
              </w:rPr>
              <w:t xml:space="preserve">Stage C </w:t>
            </w:r>
            <w:r w:rsidRPr="001F1765">
              <w:rPr>
                <w:rFonts w:cs="Times New Roman"/>
                <w:w w:val="105"/>
                <w:sz w:val="20"/>
                <w:szCs w:val="20"/>
              </w:rPr>
              <w:t xml:space="preserve">Contract </w:t>
            </w:r>
            <w:r w:rsidRPr="001F1765">
              <w:rPr>
                <w:rFonts w:cs="Times New Roman"/>
                <w:w w:val="110"/>
                <w:sz w:val="20"/>
                <w:szCs w:val="20"/>
              </w:rPr>
              <w:t>admini</w:t>
            </w:r>
            <w:r w:rsidR="009A71F3">
              <w:rPr>
                <w:rFonts w:cs="Times New Roman"/>
                <w:w w:val="110"/>
                <w:sz w:val="20"/>
                <w:szCs w:val="20"/>
              </w:rPr>
              <w:t>-</w:t>
            </w:r>
            <w:r w:rsidRPr="001F1765">
              <w:rPr>
                <w:rFonts w:cs="Times New Roman"/>
                <w:w w:val="110"/>
                <w:sz w:val="20"/>
                <w:szCs w:val="20"/>
              </w:rPr>
              <w:t>stration stage</w:t>
            </w:r>
          </w:p>
        </w:tc>
        <w:tc>
          <w:tcPr>
            <w:tcW w:w="1101" w:type="dxa"/>
            <w:tcBorders>
              <w:top w:val="single" w:sz="4" w:space="0" w:color="000000"/>
              <w:left w:val="single" w:sz="4" w:space="0" w:color="auto"/>
              <w:bottom w:val="single" w:sz="4" w:space="0" w:color="000000"/>
              <w:right w:val="single" w:sz="8" w:space="0" w:color="auto"/>
            </w:tcBorders>
          </w:tcPr>
          <w:p w14:paraId="28C5F343" w14:textId="77777777" w:rsidR="003101CC" w:rsidRPr="001F1765" w:rsidRDefault="00206481" w:rsidP="00AC0703">
            <w:pPr>
              <w:pStyle w:val="TableParagraph"/>
              <w:jc w:val="center"/>
              <w:rPr>
                <w:rFonts w:cs="Times New Roman"/>
                <w:sz w:val="20"/>
                <w:szCs w:val="20"/>
              </w:rPr>
            </w:pPr>
            <w:r w:rsidRPr="001F1765">
              <w:rPr>
                <w:rFonts w:cs="Times New Roman"/>
                <w:b/>
                <w:w w:val="110"/>
                <w:sz w:val="20"/>
                <w:szCs w:val="20"/>
              </w:rPr>
              <w:t xml:space="preserve">Stage D </w:t>
            </w:r>
            <w:r w:rsidRPr="001F1765">
              <w:rPr>
                <w:rFonts w:cs="Times New Roman"/>
                <w:w w:val="110"/>
                <w:sz w:val="20"/>
                <w:szCs w:val="20"/>
              </w:rPr>
              <w:t>Final account stage</w:t>
            </w:r>
          </w:p>
        </w:tc>
      </w:tr>
      <w:tr w:rsidR="00271040" w14:paraId="33D31A7D" w14:textId="77777777" w:rsidTr="007C501F">
        <w:tc>
          <w:tcPr>
            <w:tcW w:w="3385" w:type="dxa"/>
            <w:tcBorders>
              <w:left w:val="single" w:sz="8" w:space="0" w:color="auto"/>
            </w:tcBorders>
            <w:tcMar>
              <w:left w:w="68" w:type="dxa"/>
              <w:right w:w="68" w:type="dxa"/>
            </w:tcMar>
            <w:vAlign w:val="center"/>
          </w:tcPr>
          <w:p w14:paraId="4CAD99C8" w14:textId="77777777" w:rsidR="003101CC" w:rsidRPr="001F1765" w:rsidRDefault="00206481" w:rsidP="00AC0703">
            <w:pPr>
              <w:pStyle w:val="TableParagraph"/>
              <w:jc w:val="center"/>
              <w:rPr>
                <w:rFonts w:cs="Times New Roman"/>
                <w:sz w:val="20"/>
                <w:szCs w:val="20"/>
              </w:rPr>
            </w:pPr>
            <w:r>
              <w:rPr>
                <w:rFonts w:cs="Times New Roman"/>
                <w:sz w:val="20"/>
                <w:szCs w:val="20"/>
              </w:rPr>
              <w:t>1</w:t>
            </w:r>
          </w:p>
        </w:tc>
        <w:tc>
          <w:tcPr>
            <w:tcW w:w="1100" w:type="dxa"/>
            <w:tcBorders>
              <w:top w:val="single" w:sz="4" w:space="0" w:color="000000"/>
              <w:right w:val="single" w:sz="4" w:space="0" w:color="auto"/>
            </w:tcBorders>
            <w:vAlign w:val="center"/>
          </w:tcPr>
          <w:p w14:paraId="3AF159B6" w14:textId="77777777" w:rsidR="003101CC" w:rsidRPr="001F1765" w:rsidRDefault="00206481" w:rsidP="00AC0703">
            <w:pPr>
              <w:pStyle w:val="TableParagraph"/>
              <w:jc w:val="center"/>
              <w:rPr>
                <w:rFonts w:cs="Times New Roman"/>
                <w:sz w:val="20"/>
                <w:szCs w:val="20"/>
              </w:rPr>
            </w:pPr>
            <w:r w:rsidRPr="001F1765">
              <w:rPr>
                <w:rFonts w:cs="Times New Roman"/>
                <w:w w:val="108"/>
                <w:sz w:val="20"/>
                <w:szCs w:val="20"/>
              </w:rPr>
              <w:t>2</w:t>
            </w:r>
          </w:p>
        </w:tc>
        <w:tc>
          <w:tcPr>
            <w:tcW w:w="1101" w:type="dxa"/>
            <w:tcBorders>
              <w:top w:val="single" w:sz="4" w:space="0" w:color="000000"/>
              <w:left w:val="single" w:sz="4" w:space="0" w:color="auto"/>
              <w:right w:val="single" w:sz="4" w:space="0" w:color="auto"/>
            </w:tcBorders>
            <w:vAlign w:val="center"/>
          </w:tcPr>
          <w:p w14:paraId="580B5C9A" w14:textId="77777777" w:rsidR="003101CC" w:rsidRPr="001F1765" w:rsidRDefault="00206481" w:rsidP="00AC0703">
            <w:pPr>
              <w:pStyle w:val="TableParagraph"/>
              <w:jc w:val="center"/>
              <w:rPr>
                <w:rFonts w:cs="Times New Roman"/>
                <w:sz w:val="20"/>
                <w:szCs w:val="20"/>
              </w:rPr>
            </w:pPr>
            <w:r w:rsidRPr="001F1765">
              <w:rPr>
                <w:rFonts w:cs="Times New Roman"/>
                <w:w w:val="95"/>
                <w:sz w:val="20"/>
                <w:szCs w:val="20"/>
              </w:rPr>
              <w:t>3</w:t>
            </w:r>
          </w:p>
        </w:tc>
        <w:tc>
          <w:tcPr>
            <w:tcW w:w="1100" w:type="dxa"/>
            <w:tcBorders>
              <w:top w:val="single" w:sz="4" w:space="0" w:color="000000"/>
              <w:left w:val="single" w:sz="4" w:space="0" w:color="auto"/>
              <w:right w:val="single" w:sz="4" w:space="0" w:color="auto"/>
            </w:tcBorders>
            <w:vAlign w:val="center"/>
          </w:tcPr>
          <w:p w14:paraId="46EC76B5" w14:textId="77777777" w:rsidR="003101CC" w:rsidRPr="001F1765" w:rsidRDefault="00206481" w:rsidP="00AC0703">
            <w:pPr>
              <w:pStyle w:val="TableParagraph"/>
              <w:jc w:val="center"/>
              <w:rPr>
                <w:rFonts w:cs="Times New Roman"/>
                <w:sz w:val="20"/>
                <w:szCs w:val="20"/>
              </w:rPr>
            </w:pPr>
            <w:r w:rsidRPr="001F1765">
              <w:rPr>
                <w:rFonts w:cs="Times New Roman"/>
                <w:w w:val="95"/>
                <w:sz w:val="20"/>
                <w:szCs w:val="20"/>
              </w:rPr>
              <w:t>4</w:t>
            </w:r>
          </w:p>
        </w:tc>
        <w:tc>
          <w:tcPr>
            <w:tcW w:w="1101" w:type="dxa"/>
            <w:tcBorders>
              <w:top w:val="single" w:sz="4" w:space="0" w:color="000000"/>
              <w:left w:val="single" w:sz="4" w:space="0" w:color="auto"/>
              <w:right w:val="single" w:sz="8" w:space="0" w:color="auto"/>
            </w:tcBorders>
            <w:vAlign w:val="center"/>
          </w:tcPr>
          <w:p w14:paraId="7892D3C5" w14:textId="77777777" w:rsidR="003101CC" w:rsidRPr="001F1765" w:rsidRDefault="00206481" w:rsidP="00AC0703">
            <w:pPr>
              <w:pStyle w:val="TableParagraph"/>
              <w:jc w:val="center"/>
              <w:rPr>
                <w:rFonts w:cs="Times New Roman"/>
                <w:sz w:val="20"/>
                <w:szCs w:val="20"/>
              </w:rPr>
            </w:pPr>
            <w:r w:rsidRPr="001F1765">
              <w:rPr>
                <w:rFonts w:cs="Times New Roman"/>
                <w:w w:val="95"/>
                <w:sz w:val="20"/>
                <w:szCs w:val="20"/>
              </w:rPr>
              <w:t>5</w:t>
            </w:r>
          </w:p>
        </w:tc>
      </w:tr>
      <w:tr w:rsidR="00271040" w14:paraId="06CA94B5" w14:textId="77777777" w:rsidTr="007C501F">
        <w:tc>
          <w:tcPr>
            <w:tcW w:w="3385" w:type="dxa"/>
            <w:tcBorders>
              <w:left w:val="single" w:sz="8" w:space="0" w:color="auto"/>
              <w:bottom w:val="nil"/>
            </w:tcBorders>
            <w:tcMar>
              <w:left w:w="68" w:type="dxa"/>
              <w:right w:w="68" w:type="dxa"/>
            </w:tcMar>
            <w:vAlign w:val="center"/>
          </w:tcPr>
          <w:p w14:paraId="44ABF2DE" w14:textId="77777777" w:rsidR="003101CC" w:rsidRPr="001F1765" w:rsidRDefault="00206481" w:rsidP="00AC0703">
            <w:pPr>
              <w:pStyle w:val="TableParagraph"/>
              <w:rPr>
                <w:rFonts w:cs="Times New Roman"/>
                <w:sz w:val="20"/>
                <w:szCs w:val="20"/>
              </w:rPr>
            </w:pPr>
            <w:r w:rsidRPr="001F1765">
              <w:rPr>
                <w:rFonts w:cs="Times New Roman"/>
                <w:sz w:val="20"/>
                <w:szCs w:val="20"/>
              </w:rPr>
              <w:t>Bills of provisional quantities</w:t>
            </w:r>
          </w:p>
        </w:tc>
        <w:tc>
          <w:tcPr>
            <w:tcW w:w="1100" w:type="dxa"/>
            <w:tcBorders>
              <w:bottom w:val="nil"/>
              <w:right w:val="single" w:sz="4" w:space="0" w:color="auto"/>
            </w:tcBorders>
            <w:vAlign w:val="center"/>
          </w:tcPr>
          <w:p w14:paraId="1391171A" w14:textId="77777777" w:rsidR="003101CC" w:rsidRPr="001F1765" w:rsidRDefault="003101CC" w:rsidP="00AC0703">
            <w:pPr>
              <w:pStyle w:val="TableParagraph"/>
              <w:jc w:val="center"/>
              <w:rPr>
                <w:rFonts w:cs="Times New Roman"/>
                <w:sz w:val="20"/>
                <w:szCs w:val="20"/>
              </w:rPr>
            </w:pPr>
          </w:p>
        </w:tc>
        <w:tc>
          <w:tcPr>
            <w:tcW w:w="1101" w:type="dxa"/>
            <w:tcBorders>
              <w:left w:val="single" w:sz="4" w:space="0" w:color="auto"/>
              <w:bottom w:val="nil"/>
              <w:right w:val="single" w:sz="4" w:space="0" w:color="auto"/>
            </w:tcBorders>
            <w:vAlign w:val="center"/>
          </w:tcPr>
          <w:p w14:paraId="402FFBDD" w14:textId="77777777" w:rsidR="003101CC" w:rsidRPr="001F1765" w:rsidRDefault="003101CC" w:rsidP="00AC0703">
            <w:pPr>
              <w:pStyle w:val="TableParagraph"/>
              <w:jc w:val="center"/>
              <w:rPr>
                <w:rFonts w:cs="Times New Roman"/>
                <w:sz w:val="20"/>
                <w:szCs w:val="20"/>
              </w:rPr>
            </w:pPr>
          </w:p>
        </w:tc>
        <w:tc>
          <w:tcPr>
            <w:tcW w:w="1100" w:type="dxa"/>
            <w:tcBorders>
              <w:left w:val="single" w:sz="4" w:space="0" w:color="auto"/>
              <w:bottom w:val="nil"/>
              <w:right w:val="single" w:sz="4" w:space="0" w:color="auto"/>
            </w:tcBorders>
            <w:vAlign w:val="center"/>
          </w:tcPr>
          <w:p w14:paraId="0BDE28B4" w14:textId="77777777" w:rsidR="003101CC" w:rsidRPr="001F1765" w:rsidRDefault="003101CC" w:rsidP="00AC0703">
            <w:pPr>
              <w:pStyle w:val="TableParagraph"/>
              <w:jc w:val="center"/>
              <w:rPr>
                <w:rFonts w:cs="Times New Roman"/>
                <w:sz w:val="20"/>
                <w:szCs w:val="20"/>
              </w:rPr>
            </w:pPr>
          </w:p>
        </w:tc>
        <w:tc>
          <w:tcPr>
            <w:tcW w:w="1101" w:type="dxa"/>
            <w:tcBorders>
              <w:left w:val="single" w:sz="4" w:space="0" w:color="auto"/>
              <w:bottom w:val="nil"/>
              <w:right w:val="single" w:sz="8" w:space="0" w:color="auto"/>
            </w:tcBorders>
            <w:vAlign w:val="center"/>
          </w:tcPr>
          <w:p w14:paraId="64CC2594" w14:textId="77777777" w:rsidR="003101CC" w:rsidRPr="001F1765" w:rsidRDefault="003101CC" w:rsidP="00AC0703">
            <w:pPr>
              <w:pStyle w:val="TableParagraph"/>
              <w:jc w:val="center"/>
              <w:rPr>
                <w:rFonts w:cs="Times New Roman"/>
                <w:sz w:val="20"/>
                <w:szCs w:val="20"/>
              </w:rPr>
            </w:pPr>
          </w:p>
        </w:tc>
      </w:tr>
      <w:tr w:rsidR="00271040" w14:paraId="4F83394E" w14:textId="77777777" w:rsidTr="007C501F">
        <w:tc>
          <w:tcPr>
            <w:tcW w:w="3385" w:type="dxa"/>
            <w:tcBorders>
              <w:top w:val="nil"/>
              <w:left w:val="single" w:sz="8" w:space="0" w:color="auto"/>
              <w:bottom w:val="nil"/>
            </w:tcBorders>
            <w:tcMar>
              <w:left w:w="68" w:type="dxa"/>
              <w:right w:w="68" w:type="dxa"/>
            </w:tcMar>
            <w:vAlign w:val="center"/>
          </w:tcPr>
          <w:p w14:paraId="24B7937C" w14:textId="77777777" w:rsidR="003101CC" w:rsidRPr="001F1765" w:rsidRDefault="00206481" w:rsidP="00AC0703">
            <w:pPr>
              <w:pStyle w:val="TableParagraph"/>
              <w:rPr>
                <w:rFonts w:cs="Times New Roman"/>
                <w:sz w:val="20"/>
                <w:szCs w:val="20"/>
              </w:rPr>
            </w:pPr>
            <w:r w:rsidRPr="001F1765">
              <w:rPr>
                <w:rFonts w:cs="Times New Roman"/>
                <w:w w:val="105"/>
                <w:sz w:val="20"/>
                <w:szCs w:val="20"/>
              </w:rPr>
              <w:t>contracts</w:t>
            </w:r>
          </w:p>
        </w:tc>
        <w:tc>
          <w:tcPr>
            <w:tcW w:w="1100" w:type="dxa"/>
            <w:tcBorders>
              <w:top w:val="nil"/>
              <w:bottom w:val="nil"/>
              <w:right w:val="single" w:sz="4" w:space="0" w:color="auto"/>
            </w:tcBorders>
            <w:vAlign w:val="center"/>
          </w:tcPr>
          <w:p w14:paraId="31A1CA93"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7,5</w:t>
            </w:r>
          </w:p>
        </w:tc>
        <w:tc>
          <w:tcPr>
            <w:tcW w:w="1101" w:type="dxa"/>
            <w:tcBorders>
              <w:top w:val="nil"/>
              <w:left w:val="single" w:sz="4" w:space="0" w:color="auto"/>
              <w:bottom w:val="nil"/>
              <w:right w:val="single" w:sz="4" w:space="0" w:color="auto"/>
            </w:tcBorders>
            <w:vAlign w:val="center"/>
          </w:tcPr>
          <w:p w14:paraId="26E52AAB"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22,5</w:t>
            </w:r>
          </w:p>
        </w:tc>
        <w:tc>
          <w:tcPr>
            <w:tcW w:w="1100" w:type="dxa"/>
            <w:tcBorders>
              <w:top w:val="nil"/>
              <w:left w:val="single" w:sz="4" w:space="0" w:color="auto"/>
              <w:bottom w:val="nil"/>
              <w:right w:val="single" w:sz="4" w:space="0" w:color="auto"/>
            </w:tcBorders>
            <w:vAlign w:val="center"/>
          </w:tcPr>
          <w:p w14:paraId="40A29D9D" w14:textId="77777777" w:rsidR="003101CC" w:rsidRPr="001F1765" w:rsidRDefault="00206481" w:rsidP="00DA6DBC">
            <w:pPr>
              <w:pStyle w:val="TableParagraph"/>
              <w:ind w:right="397"/>
              <w:jc w:val="right"/>
              <w:rPr>
                <w:rFonts w:cs="Times New Roman"/>
                <w:sz w:val="20"/>
                <w:szCs w:val="20"/>
              </w:rPr>
            </w:pPr>
            <w:r w:rsidRPr="001F1765">
              <w:rPr>
                <w:rFonts w:cs="Times New Roman"/>
                <w:w w:val="110"/>
                <w:sz w:val="20"/>
                <w:szCs w:val="20"/>
              </w:rPr>
              <w:t>40</w:t>
            </w:r>
          </w:p>
        </w:tc>
        <w:tc>
          <w:tcPr>
            <w:tcW w:w="1101" w:type="dxa"/>
            <w:tcBorders>
              <w:top w:val="nil"/>
              <w:left w:val="single" w:sz="4" w:space="0" w:color="auto"/>
              <w:bottom w:val="nil"/>
              <w:right w:val="single" w:sz="8" w:space="0" w:color="auto"/>
            </w:tcBorders>
            <w:vAlign w:val="center"/>
          </w:tcPr>
          <w:p w14:paraId="3985726B"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30</w:t>
            </w:r>
          </w:p>
        </w:tc>
      </w:tr>
      <w:tr w:rsidR="00271040" w14:paraId="6F68084F" w14:textId="77777777" w:rsidTr="007C501F">
        <w:tc>
          <w:tcPr>
            <w:tcW w:w="3385" w:type="dxa"/>
            <w:tcBorders>
              <w:top w:val="nil"/>
              <w:left w:val="single" w:sz="8" w:space="0" w:color="auto"/>
              <w:bottom w:val="nil"/>
            </w:tcBorders>
            <w:tcMar>
              <w:left w:w="68" w:type="dxa"/>
              <w:right w:w="68" w:type="dxa"/>
            </w:tcMar>
            <w:vAlign w:val="center"/>
          </w:tcPr>
          <w:p w14:paraId="783A3548" w14:textId="77777777" w:rsidR="003101CC" w:rsidRPr="001F1765" w:rsidRDefault="00206481" w:rsidP="00AC0703">
            <w:pPr>
              <w:pStyle w:val="TableParagraph"/>
              <w:rPr>
                <w:rFonts w:cs="Times New Roman"/>
                <w:sz w:val="20"/>
                <w:szCs w:val="20"/>
              </w:rPr>
            </w:pPr>
            <w:r w:rsidRPr="001F1765">
              <w:rPr>
                <w:rFonts w:cs="Times New Roman"/>
                <w:sz w:val="20"/>
                <w:szCs w:val="20"/>
              </w:rPr>
              <w:t>Bills of quantities contracts</w:t>
            </w:r>
          </w:p>
        </w:tc>
        <w:tc>
          <w:tcPr>
            <w:tcW w:w="1100" w:type="dxa"/>
            <w:tcBorders>
              <w:top w:val="nil"/>
              <w:bottom w:val="nil"/>
              <w:right w:val="single" w:sz="4" w:space="0" w:color="auto"/>
            </w:tcBorders>
            <w:vAlign w:val="center"/>
          </w:tcPr>
          <w:p w14:paraId="6C1B0417"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7,5</w:t>
            </w:r>
          </w:p>
        </w:tc>
        <w:tc>
          <w:tcPr>
            <w:tcW w:w="1101" w:type="dxa"/>
            <w:tcBorders>
              <w:top w:val="nil"/>
              <w:left w:val="single" w:sz="4" w:space="0" w:color="auto"/>
              <w:bottom w:val="nil"/>
              <w:right w:val="single" w:sz="4" w:space="0" w:color="auto"/>
            </w:tcBorders>
            <w:vAlign w:val="center"/>
          </w:tcPr>
          <w:p w14:paraId="6378C6C9"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42,5</w:t>
            </w:r>
          </w:p>
        </w:tc>
        <w:tc>
          <w:tcPr>
            <w:tcW w:w="1100" w:type="dxa"/>
            <w:tcBorders>
              <w:top w:val="nil"/>
              <w:left w:val="single" w:sz="4" w:space="0" w:color="auto"/>
              <w:bottom w:val="nil"/>
              <w:right w:val="single" w:sz="4" w:space="0" w:color="auto"/>
            </w:tcBorders>
            <w:vAlign w:val="center"/>
          </w:tcPr>
          <w:p w14:paraId="2B6F0488"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30</w:t>
            </w:r>
          </w:p>
        </w:tc>
        <w:tc>
          <w:tcPr>
            <w:tcW w:w="1101" w:type="dxa"/>
            <w:tcBorders>
              <w:top w:val="nil"/>
              <w:left w:val="single" w:sz="4" w:space="0" w:color="auto"/>
              <w:bottom w:val="nil"/>
              <w:right w:val="single" w:sz="8" w:space="0" w:color="auto"/>
            </w:tcBorders>
            <w:vAlign w:val="center"/>
          </w:tcPr>
          <w:p w14:paraId="5D0DA461"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20</w:t>
            </w:r>
          </w:p>
        </w:tc>
      </w:tr>
      <w:tr w:rsidR="00271040" w14:paraId="67C30CB9" w14:textId="77777777" w:rsidTr="007C501F">
        <w:tc>
          <w:tcPr>
            <w:tcW w:w="3385" w:type="dxa"/>
            <w:tcBorders>
              <w:top w:val="nil"/>
              <w:left w:val="single" w:sz="8" w:space="0" w:color="auto"/>
              <w:bottom w:val="nil"/>
            </w:tcBorders>
            <w:tcMar>
              <w:left w:w="68" w:type="dxa"/>
              <w:right w:w="68" w:type="dxa"/>
            </w:tcMar>
            <w:vAlign w:val="center"/>
          </w:tcPr>
          <w:p w14:paraId="0513AE32" w14:textId="77777777" w:rsidR="003101CC" w:rsidRPr="001F1765" w:rsidRDefault="00206481" w:rsidP="00AC0703">
            <w:pPr>
              <w:pStyle w:val="TableParagraph"/>
              <w:rPr>
                <w:rFonts w:cs="Times New Roman"/>
                <w:sz w:val="20"/>
                <w:szCs w:val="20"/>
              </w:rPr>
            </w:pPr>
            <w:r w:rsidRPr="001F1765">
              <w:rPr>
                <w:rFonts w:cs="Times New Roman"/>
                <w:sz w:val="20"/>
                <w:szCs w:val="20"/>
              </w:rPr>
              <w:t>Contracts without bills of quantities</w:t>
            </w:r>
          </w:p>
        </w:tc>
        <w:tc>
          <w:tcPr>
            <w:tcW w:w="1100" w:type="dxa"/>
            <w:tcBorders>
              <w:top w:val="nil"/>
              <w:bottom w:val="nil"/>
              <w:right w:val="single" w:sz="4" w:space="0" w:color="auto"/>
            </w:tcBorders>
            <w:vAlign w:val="center"/>
          </w:tcPr>
          <w:p w14:paraId="5F0E726E"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12,5</w:t>
            </w:r>
          </w:p>
        </w:tc>
        <w:tc>
          <w:tcPr>
            <w:tcW w:w="1101" w:type="dxa"/>
            <w:tcBorders>
              <w:top w:val="nil"/>
              <w:left w:val="single" w:sz="4" w:space="0" w:color="auto"/>
              <w:bottom w:val="nil"/>
              <w:right w:val="single" w:sz="4" w:space="0" w:color="auto"/>
            </w:tcBorders>
            <w:vAlign w:val="center"/>
          </w:tcPr>
          <w:p w14:paraId="4848BDA0"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22,5</w:t>
            </w:r>
          </w:p>
        </w:tc>
        <w:tc>
          <w:tcPr>
            <w:tcW w:w="1100" w:type="dxa"/>
            <w:tcBorders>
              <w:top w:val="nil"/>
              <w:left w:val="single" w:sz="4" w:space="0" w:color="auto"/>
              <w:bottom w:val="nil"/>
              <w:right w:val="single" w:sz="4" w:space="0" w:color="auto"/>
            </w:tcBorders>
            <w:vAlign w:val="center"/>
          </w:tcPr>
          <w:p w14:paraId="299F90E6" w14:textId="77777777" w:rsidR="003101CC" w:rsidRPr="001F1765" w:rsidRDefault="00206481" w:rsidP="00DA6DBC">
            <w:pPr>
              <w:pStyle w:val="TableParagraph"/>
              <w:ind w:right="397"/>
              <w:jc w:val="right"/>
              <w:rPr>
                <w:rFonts w:cs="Times New Roman"/>
                <w:sz w:val="20"/>
                <w:szCs w:val="20"/>
              </w:rPr>
            </w:pPr>
            <w:r w:rsidRPr="001F1765">
              <w:rPr>
                <w:rFonts w:cs="Times New Roman"/>
                <w:w w:val="110"/>
                <w:sz w:val="20"/>
                <w:szCs w:val="20"/>
              </w:rPr>
              <w:t>50</w:t>
            </w:r>
          </w:p>
        </w:tc>
        <w:tc>
          <w:tcPr>
            <w:tcW w:w="1101" w:type="dxa"/>
            <w:tcBorders>
              <w:top w:val="nil"/>
              <w:left w:val="single" w:sz="4" w:space="0" w:color="auto"/>
              <w:bottom w:val="nil"/>
              <w:right w:val="single" w:sz="8" w:space="0" w:color="auto"/>
            </w:tcBorders>
            <w:vAlign w:val="center"/>
          </w:tcPr>
          <w:p w14:paraId="69867F00"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15</w:t>
            </w:r>
          </w:p>
        </w:tc>
      </w:tr>
      <w:tr w:rsidR="00271040" w14:paraId="582E8A23" w14:textId="77777777" w:rsidTr="007C501F">
        <w:tc>
          <w:tcPr>
            <w:tcW w:w="3385" w:type="dxa"/>
            <w:tcBorders>
              <w:top w:val="nil"/>
              <w:left w:val="single" w:sz="8" w:space="0" w:color="auto"/>
              <w:bottom w:val="nil"/>
            </w:tcBorders>
            <w:tcMar>
              <w:left w:w="68" w:type="dxa"/>
              <w:right w:w="68" w:type="dxa"/>
            </w:tcMar>
            <w:vAlign w:val="center"/>
          </w:tcPr>
          <w:p w14:paraId="40CBFA5C" w14:textId="77777777" w:rsidR="003101CC" w:rsidRPr="001F1765" w:rsidRDefault="00206481" w:rsidP="00AC0703">
            <w:pPr>
              <w:pStyle w:val="TableParagraph"/>
              <w:rPr>
                <w:rFonts w:cs="Times New Roman"/>
                <w:b/>
                <w:sz w:val="20"/>
                <w:szCs w:val="20"/>
              </w:rPr>
            </w:pPr>
            <w:r w:rsidRPr="001F1765">
              <w:rPr>
                <w:rFonts w:cs="Times New Roman"/>
                <w:b/>
                <w:w w:val="105"/>
                <w:sz w:val="20"/>
                <w:szCs w:val="20"/>
              </w:rPr>
              <w:t>Cost norms</w:t>
            </w:r>
          </w:p>
        </w:tc>
        <w:tc>
          <w:tcPr>
            <w:tcW w:w="1100" w:type="dxa"/>
            <w:tcBorders>
              <w:top w:val="nil"/>
              <w:bottom w:val="nil"/>
              <w:right w:val="single" w:sz="4" w:space="0" w:color="auto"/>
            </w:tcBorders>
            <w:vAlign w:val="center"/>
          </w:tcPr>
          <w:p w14:paraId="6C507D80"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40</w:t>
            </w:r>
          </w:p>
        </w:tc>
        <w:tc>
          <w:tcPr>
            <w:tcW w:w="1101" w:type="dxa"/>
            <w:tcBorders>
              <w:top w:val="nil"/>
              <w:left w:val="single" w:sz="4" w:space="0" w:color="auto"/>
              <w:bottom w:val="nil"/>
              <w:right w:val="single" w:sz="4" w:space="0" w:color="auto"/>
            </w:tcBorders>
            <w:vAlign w:val="center"/>
          </w:tcPr>
          <w:p w14:paraId="66EB8EC9"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20</w:t>
            </w:r>
          </w:p>
        </w:tc>
        <w:tc>
          <w:tcPr>
            <w:tcW w:w="1100" w:type="dxa"/>
            <w:tcBorders>
              <w:top w:val="nil"/>
              <w:left w:val="single" w:sz="4" w:space="0" w:color="auto"/>
              <w:bottom w:val="nil"/>
              <w:right w:val="single" w:sz="4" w:space="0" w:color="auto"/>
            </w:tcBorders>
            <w:vAlign w:val="center"/>
          </w:tcPr>
          <w:p w14:paraId="75D19573"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30</w:t>
            </w:r>
          </w:p>
        </w:tc>
        <w:tc>
          <w:tcPr>
            <w:tcW w:w="1101" w:type="dxa"/>
            <w:tcBorders>
              <w:top w:val="nil"/>
              <w:left w:val="single" w:sz="4" w:space="0" w:color="auto"/>
              <w:bottom w:val="nil"/>
              <w:right w:val="single" w:sz="8" w:space="0" w:color="auto"/>
            </w:tcBorders>
            <w:vAlign w:val="center"/>
          </w:tcPr>
          <w:p w14:paraId="045F5438"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10</w:t>
            </w:r>
          </w:p>
        </w:tc>
      </w:tr>
      <w:tr w:rsidR="00271040" w14:paraId="7BF3BB4C" w14:textId="77777777" w:rsidTr="007C501F">
        <w:tc>
          <w:tcPr>
            <w:tcW w:w="3385" w:type="dxa"/>
            <w:tcBorders>
              <w:top w:val="nil"/>
              <w:left w:val="single" w:sz="8" w:space="0" w:color="auto"/>
              <w:bottom w:val="nil"/>
            </w:tcBorders>
            <w:tcMar>
              <w:left w:w="68" w:type="dxa"/>
              <w:right w:w="68" w:type="dxa"/>
            </w:tcMar>
            <w:vAlign w:val="center"/>
          </w:tcPr>
          <w:p w14:paraId="0C76377C" w14:textId="77777777" w:rsidR="003101CC" w:rsidRPr="001F1765" w:rsidRDefault="00206481" w:rsidP="00AC0703">
            <w:pPr>
              <w:pStyle w:val="TableParagraph"/>
              <w:rPr>
                <w:rFonts w:cs="Times New Roman"/>
                <w:sz w:val="20"/>
                <w:szCs w:val="20"/>
              </w:rPr>
            </w:pPr>
            <w:r w:rsidRPr="001F1765">
              <w:rPr>
                <w:rFonts w:cs="Times New Roman"/>
                <w:w w:val="105"/>
                <w:sz w:val="20"/>
                <w:szCs w:val="20"/>
              </w:rPr>
              <w:t>Cost-plus contracts</w:t>
            </w:r>
          </w:p>
        </w:tc>
        <w:tc>
          <w:tcPr>
            <w:tcW w:w="1100" w:type="dxa"/>
            <w:tcBorders>
              <w:top w:val="nil"/>
              <w:bottom w:val="nil"/>
              <w:right w:val="single" w:sz="4" w:space="0" w:color="auto"/>
            </w:tcBorders>
            <w:vAlign w:val="center"/>
          </w:tcPr>
          <w:p w14:paraId="2E3B5090"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12,5</w:t>
            </w:r>
          </w:p>
        </w:tc>
        <w:tc>
          <w:tcPr>
            <w:tcW w:w="1101" w:type="dxa"/>
            <w:tcBorders>
              <w:top w:val="nil"/>
              <w:left w:val="single" w:sz="4" w:space="0" w:color="auto"/>
              <w:bottom w:val="nil"/>
              <w:right w:val="single" w:sz="4" w:space="0" w:color="auto"/>
            </w:tcBorders>
            <w:vAlign w:val="center"/>
          </w:tcPr>
          <w:p w14:paraId="348E66DA"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12,5</w:t>
            </w:r>
          </w:p>
        </w:tc>
        <w:tc>
          <w:tcPr>
            <w:tcW w:w="1100" w:type="dxa"/>
            <w:tcBorders>
              <w:top w:val="nil"/>
              <w:left w:val="single" w:sz="4" w:space="0" w:color="auto"/>
              <w:bottom w:val="nil"/>
              <w:right w:val="single" w:sz="4" w:space="0" w:color="auto"/>
            </w:tcBorders>
            <w:vAlign w:val="center"/>
          </w:tcPr>
          <w:p w14:paraId="560C780F"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65</w:t>
            </w:r>
          </w:p>
        </w:tc>
        <w:tc>
          <w:tcPr>
            <w:tcW w:w="1101" w:type="dxa"/>
            <w:tcBorders>
              <w:top w:val="nil"/>
              <w:left w:val="single" w:sz="4" w:space="0" w:color="auto"/>
              <w:bottom w:val="nil"/>
              <w:right w:val="single" w:sz="8" w:space="0" w:color="auto"/>
            </w:tcBorders>
            <w:vAlign w:val="center"/>
          </w:tcPr>
          <w:p w14:paraId="3766C080"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10</w:t>
            </w:r>
          </w:p>
        </w:tc>
      </w:tr>
      <w:tr w:rsidR="00271040" w14:paraId="1A80ADDE" w14:textId="77777777" w:rsidTr="007C501F">
        <w:tc>
          <w:tcPr>
            <w:tcW w:w="3385" w:type="dxa"/>
            <w:tcBorders>
              <w:top w:val="nil"/>
              <w:left w:val="single" w:sz="8" w:space="0" w:color="auto"/>
              <w:bottom w:val="nil"/>
            </w:tcBorders>
            <w:tcMar>
              <w:left w:w="68" w:type="dxa"/>
              <w:right w:w="68" w:type="dxa"/>
            </w:tcMar>
            <w:vAlign w:val="center"/>
          </w:tcPr>
          <w:p w14:paraId="506559C8" w14:textId="77777777" w:rsidR="003101CC" w:rsidRPr="001F1765" w:rsidRDefault="00206481" w:rsidP="00AC0703">
            <w:pPr>
              <w:pStyle w:val="TableParagraph"/>
              <w:rPr>
                <w:rFonts w:cs="Times New Roman"/>
                <w:b/>
                <w:sz w:val="20"/>
                <w:szCs w:val="20"/>
              </w:rPr>
            </w:pPr>
            <w:r w:rsidRPr="001F1765">
              <w:rPr>
                <w:rFonts w:cs="Times New Roman"/>
                <w:b/>
                <w:w w:val="105"/>
                <w:sz w:val="20"/>
                <w:szCs w:val="20"/>
              </w:rPr>
              <w:t>Multiple procurement contracts</w:t>
            </w:r>
          </w:p>
        </w:tc>
        <w:tc>
          <w:tcPr>
            <w:tcW w:w="1100" w:type="dxa"/>
            <w:tcBorders>
              <w:top w:val="nil"/>
              <w:bottom w:val="nil"/>
              <w:right w:val="single" w:sz="4" w:space="0" w:color="auto"/>
            </w:tcBorders>
            <w:vAlign w:val="center"/>
          </w:tcPr>
          <w:p w14:paraId="5B321B35"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7,5</w:t>
            </w:r>
          </w:p>
        </w:tc>
        <w:tc>
          <w:tcPr>
            <w:tcW w:w="1101" w:type="dxa"/>
            <w:tcBorders>
              <w:top w:val="nil"/>
              <w:left w:val="single" w:sz="4" w:space="0" w:color="auto"/>
              <w:bottom w:val="nil"/>
              <w:right w:val="single" w:sz="4" w:space="0" w:color="auto"/>
            </w:tcBorders>
            <w:vAlign w:val="center"/>
          </w:tcPr>
          <w:p w14:paraId="2C4A9A05"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17,5</w:t>
            </w:r>
          </w:p>
        </w:tc>
        <w:tc>
          <w:tcPr>
            <w:tcW w:w="1100" w:type="dxa"/>
            <w:tcBorders>
              <w:top w:val="nil"/>
              <w:left w:val="single" w:sz="4" w:space="0" w:color="auto"/>
              <w:bottom w:val="nil"/>
              <w:right w:val="single" w:sz="4" w:space="0" w:color="auto"/>
            </w:tcBorders>
            <w:vAlign w:val="center"/>
          </w:tcPr>
          <w:p w14:paraId="45037C85"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45</w:t>
            </w:r>
          </w:p>
        </w:tc>
        <w:tc>
          <w:tcPr>
            <w:tcW w:w="1101" w:type="dxa"/>
            <w:tcBorders>
              <w:top w:val="nil"/>
              <w:left w:val="single" w:sz="4" w:space="0" w:color="auto"/>
              <w:bottom w:val="nil"/>
              <w:right w:val="single" w:sz="8" w:space="0" w:color="auto"/>
            </w:tcBorders>
            <w:vAlign w:val="center"/>
          </w:tcPr>
          <w:p w14:paraId="31CCD7D4"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30</w:t>
            </w:r>
          </w:p>
        </w:tc>
      </w:tr>
      <w:tr w:rsidR="00271040" w14:paraId="7F3605EA" w14:textId="77777777" w:rsidTr="007C501F">
        <w:tc>
          <w:tcPr>
            <w:tcW w:w="3385" w:type="dxa"/>
            <w:tcBorders>
              <w:top w:val="nil"/>
              <w:left w:val="single" w:sz="8" w:space="0" w:color="auto"/>
              <w:bottom w:val="nil"/>
            </w:tcBorders>
            <w:tcMar>
              <w:left w:w="68" w:type="dxa"/>
              <w:right w:w="68" w:type="dxa"/>
            </w:tcMar>
            <w:vAlign w:val="center"/>
          </w:tcPr>
          <w:p w14:paraId="559AECEC" w14:textId="77777777" w:rsidR="003101CC" w:rsidRPr="001F1765" w:rsidRDefault="00206481" w:rsidP="00AC0703">
            <w:pPr>
              <w:pStyle w:val="TableParagraph"/>
              <w:rPr>
                <w:rFonts w:cs="Times New Roman"/>
                <w:b/>
                <w:sz w:val="20"/>
                <w:szCs w:val="20"/>
              </w:rPr>
            </w:pPr>
            <w:r w:rsidRPr="001F1765">
              <w:rPr>
                <w:rFonts w:cs="Times New Roman"/>
                <w:b/>
                <w:w w:val="105"/>
                <w:sz w:val="20"/>
                <w:szCs w:val="20"/>
              </w:rPr>
              <w:t>Principal agent</w:t>
            </w:r>
          </w:p>
        </w:tc>
        <w:tc>
          <w:tcPr>
            <w:tcW w:w="1100" w:type="dxa"/>
            <w:tcBorders>
              <w:top w:val="nil"/>
              <w:bottom w:val="nil"/>
              <w:right w:val="single" w:sz="4" w:space="0" w:color="auto"/>
            </w:tcBorders>
            <w:vAlign w:val="center"/>
          </w:tcPr>
          <w:p w14:paraId="337FFA51"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5</w:t>
            </w:r>
          </w:p>
        </w:tc>
        <w:tc>
          <w:tcPr>
            <w:tcW w:w="1101" w:type="dxa"/>
            <w:tcBorders>
              <w:top w:val="nil"/>
              <w:left w:val="single" w:sz="4" w:space="0" w:color="auto"/>
              <w:bottom w:val="nil"/>
              <w:right w:val="single" w:sz="4" w:space="0" w:color="auto"/>
            </w:tcBorders>
            <w:vAlign w:val="center"/>
          </w:tcPr>
          <w:p w14:paraId="4FB2D46F"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20</w:t>
            </w:r>
          </w:p>
        </w:tc>
        <w:tc>
          <w:tcPr>
            <w:tcW w:w="1100" w:type="dxa"/>
            <w:tcBorders>
              <w:top w:val="nil"/>
              <w:left w:val="single" w:sz="4" w:space="0" w:color="auto"/>
              <w:bottom w:val="nil"/>
              <w:right w:val="single" w:sz="4" w:space="0" w:color="auto"/>
            </w:tcBorders>
            <w:vAlign w:val="center"/>
          </w:tcPr>
          <w:p w14:paraId="1A8C8C74"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55</w:t>
            </w:r>
          </w:p>
        </w:tc>
        <w:tc>
          <w:tcPr>
            <w:tcW w:w="1101" w:type="dxa"/>
            <w:tcBorders>
              <w:top w:val="nil"/>
              <w:left w:val="single" w:sz="4" w:space="0" w:color="auto"/>
              <w:bottom w:val="nil"/>
              <w:right w:val="single" w:sz="8" w:space="0" w:color="auto"/>
            </w:tcBorders>
            <w:vAlign w:val="center"/>
          </w:tcPr>
          <w:p w14:paraId="1CF507B9"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20</w:t>
            </w:r>
          </w:p>
        </w:tc>
      </w:tr>
      <w:tr w:rsidR="00271040" w14:paraId="6CA805AE" w14:textId="77777777" w:rsidTr="007C501F">
        <w:tc>
          <w:tcPr>
            <w:tcW w:w="3385" w:type="dxa"/>
            <w:tcBorders>
              <w:top w:val="nil"/>
              <w:left w:val="single" w:sz="8" w:space="0" w:color="auto"/>
              <w:bottom w:val="nil"/>
            </w:tcBorders>
            <w:tcMar>
              <w:left w:w="68" w:type="dxa"/>
              <w:right w:w="68" w:type="dxa"/>
            </w:tcMar>
            <w:vAlign w:val="center"/>
          </w:tcPr>
          <w:p w14:paraId="568DEDAC" w14:textId="77777777" w:rsidR="003101CC" w:rsidRPr="001F1765" w:rsidRDefault="00206481" w:rsidP="00AC0703">
            <w:pPr>
              <w:pStyle w:val="TableParagraph"/>
              <w:rPr>
                <w:rFonts w:cs="Times New Roman"/>
                <w:b/>
                <w:sz w:val="20"/>
                <w:szCs w:val="20"/>
              </w:rPr>
            </w:pPr>
            <w:r w:rsidRPr="001F1765">
              <w:rPr>
                <w:rFonts w:cs="Times New Roman"/>
                <w:b/>
                <w:w w:val="105"/>
                <w:sz w:val="20"/>
                <w:szCs w:val="20"/>
              </w:rPr>
              <w:t>Project manager</w:t>
            </w:r>
          </w:p>
        </w:tc>
        <w:tc>
          <w:tcPr>
            <w:tcW w:w="1100" w:type="dxa"/>
            <w:tcBorders>
              <w:top w:val="nil"/>
              <w:bottom w:val="nil"/>
              <w:right w:val="single" w:sz="4" w:space="0" w:color="auto"/>
            </w:tcBorders>
            <w:vAlign w:val="center"/>
          </w:tcPr>
          <w:p w14:paraId="1DE3CF81"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15</w:t>
            </w:r>
          </w:p>
        </w:tc>
        <w:tc>
          <w:tcPr>
            <w:tcW w:w="1101" w:type="dxa"/>
            <w:tcBorders>
              <w:top w:val="nil"/>
              <w:left w:val="single" w:sz="4" w:space="0" w:color="auto"/>
              <w:bottom w:val="nil"/>
              <w:right w:val="single" w:sz="4" w:space="0" w:color="auto"/>
            </w:tcBorders>
            <w:vAlign w:val="center"/>
          </w:tcPr>
          <w:p w14:paraId="479C508B"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15</w:t>
            </w:r>
          </w:p>
        </w:tc>
        <w:tc>
          <w:tcPr>
            <w:tcW w:w="1100" w:type="dxa"/>
            <w:tcBorders>
              <w:top w:val="nil"/>
              <w:left w:val="single" w:sz="4" w:space="0" w:color="auto"/>
              <w:bottom w:val="nil"/>
              <w:right w:val="single" w:sz="4" w:space="0" w:color="auto"/>
            </w:tcBorders>
            <w:vAlign w:val="center"/>
          </w:tcPr>
          <w:p w14:paraId="52CAC5AD"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55</w:t>
            </w:r>
          </w:p>
        </w:tc>
        <w:tc>
          <w:tcPr>
            <w:tcW w:w="1101" w:type="dxa"/>
            <w:tcBorders>
              <w:top w:val="nil"/>
              <w:left w:val="single" w:sz="4" w:space="0" w:color="auto"/>
              <w:bottom w:val="nil"/>
              <w:right w:val="single" w:sz="8" w:space="0" w:color="auto"/>
            </w:tcBorders>
            <w:vAlign w:val="center"/>
          </w:tcPr>
          <w:p w14:paraId="480E6E3D"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15</w:t>
            </w:r>
          </w:p>
        </w:tc>
      </w:tr>
      <w:tr w:rsidR="00271040" w14:paraId="06DCAF70" w14:textId="77777777" w:rsidTr="007C501F">
        <w:tc>
          <w:tcPr>
            <w:tcW w:w="3385" w:type="dxa"/>
            <w:tcBorders>
              <w:top w:val="nil"/>
              <w:left w:val="single" w:sz="8" w:space="0" w:color="auto"/>
              <w:bottom w:val="nil"/>
            </w:tcBorders>
            <w:tcMar>
              <w:left w:w="68" w:type="dxa"/>
              <w:right w:w="68" w:type="dxa"/>
            </w:tcMar>
            <w:vAlign w:val="center"/>
          </w:tcPr>
          <w:p w14:paraId="04EED728" w14:textId="77777777" w:rsidR="003101CC" w:rsidRPr="001F1765" w:rsidRDefault="00206481" w:rsidP="00AC0703">
            <w:pPr>
              <w:pStyle w:val="TableParagraph"/>
              <w:rPr>
                <w:rFonts w:cs="Times New Roman"/>
                <w:sz w:val="20"/>
                <w:szCs w:val="20"/>
              </w:rPr>
            </w:pPr>
            <w:r w:rsidRPr="001F1765">
              <w:rPr>
                <w:rFonts w:cs="Times New Roman"/>
                <w:b/>
                <w:sz w:val="20"/>
                <w:szCs w:val="20"/>
              </w:rPr>
              <w:t xml:space="preserve">Replication </w:t>
            </w:r>
            <w:r w:rsidRPr="001F1765">
              <w:rPr>
                <w:rFonts w:cs="Times New Roman"/>
                <w:sz w:val="20"/>
                <w:szCs w:val="20"/>
              </w:rPr>
              <w:t>of prototype*</w:t>
            </w:r>
          </w:p>
        </w:tc>
        <w:tc>
          <w:tcPr>
            <w:tcW w:w="1100" w:type="dxa"/>
            <w:tcBorders>
              <w:top w:val="nil"/>
              <w:bottom w:val="nil"/>
              <w:right w:val="single" w:sz="4" w:space="0" w:color="auto"/>
            </w:tcBorders>
            <w:vAlign w:val="center"/>
          </w:tcPr>
          <w:p w14:paraId="59C0BF38" w14:textId="77777777" w:rsidR="003101CC" w:rsidRPr="001F1765" w:rsidRDefault="00206481" w:rsidP="00DA6DBC">
            <w:pPr>
              <w:pStyle w:val="TableParagraph"/>
              <w:ind w:right="397"/>
              <w:jc w:val="right"/>
              <w:rPr>
                <w:rFonts w:cs="Times New Roman"/>
                <w:sz w:val="20"/>
                <w:szCs w:val="20"/>
              </w:rPr>
            </w:pPr>
            <w:r w:rsidRPr="001F1765">
              <w:rPr>
                <w:rFonts w:cs="Times New Roman"/>
                <w:w w:val="102"/>
                <w:sz w:val="20"/>
                <w:szCs w:val="20"/>
              </w:rPr>
              <w:t>5</w:t>
            </w:r>
          </w:p>
        </w:tc>
        <w:tc>
          <w:tcPr>
            <w:tcW w:w="1101" w:type="dxa"/>
            <w:tcBorders>
              <w:top w:val="nil"/>
              <w:left w:val="single" w:sz="4" w:space="0" w:color="auto"/>
              <w:bottom w:val="nil"/>
              <w:right w:val="single" w:sz="4" w:space="0" w:color="auto"/>
            </w:tcBorders>
            <w:vAlign w:val="center"/>
          </w:tcPr>
          <w:p w14:paraId="5274AF32"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10</w:t>
            </w:r>
          </w:p>
        </w:tc>
        <w:tc>
          <w:tcPr>
            <w:tcW w:w="1100" w:type="dxa"/>
            <w:tcBorders>
              <w:top w:val="nil"/>
              <w:left w:val="single" w:sz="4" w:space="0" w:color="auto"/>
              <w:bottom w:val="nil"/>
              <w:right w:val="single" w:sz="4" w:space="0" w:color="auto"/>
            </w:tcBorders>
            <w:vAlign w:val="center"/>
          </w:tcPr>
          <w:p w14:paraId="6171E18F"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60</w:t>
            </w:r>
          </w:p>
        </w:tc>
        <w:tc>
          <w:tcPr>
            <w:tcW w:w="1101" w:type="dxa"/>
            <w:tcBorders>
              <w:top w:val="nil"/>
              <w:left w:val="single" w:sz="4" w:space="0" w:color="auto"/>
              <w:bottom w:val="nil"/>
              <w:right w:val="single" w:sz="8" w:space="0" w:color="auto"/>
            </w:tcBorders>
            <w:vAlign w:val="center"/>
          </w:tcPr>
          <w:p w14:paraId="68E72754"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25</w:t>
            </w:r>
          </w:p>
        </w:tc>
      </w:tr>
      <w:tr w:rsidR="00271040" w14:paraId="29984D87" w14:textId="77777777" w:rsidTr="007C501F">
        <w:tc>
          <w:tcPr>
            <w:tcW w:w="3385" w:type="dxa"/>
            <w:tcBorders>
              <w:top w:val="nil"/>
              <w:left w:val="single" w:sz="8" w:space="0" w:color="auto"/>
              <w:bottom w:val="nil"/>
            </w:tcBorders>
            <w:tcMar>
              <w:left w:w="68" w:type="dxa"/>
              <w:right w:w="68" w:type="dxa"/>
            </w:tcMar>
            <w:vAlign w:val="center"/>
          </w:tcPr>
          <w:p w14:paraId="5B432112" w14:textId="77777777" w:rsidR="003101CC" w:rsidRPr="001F1765" w:rsidRDefault="00206481" w:rsidP="00AC0703">
            <w:pPr>
              <w:pStyle w:val="TableParagraph"/>
              <w:rPr>
                <w:rFonts w:cs="Times New Roman"/>
                <w:sz w:val="20"/>
                <w:szCs w:val="20"/>
              </w:rPr>
            </w:pPr>
            <w:r w:rsidRPr="001F1765">
              <w:rPr>
                <w:rFonts w:cs="Times New Roman"/>
                <w:sz w:val="20"/>
                <w:szCs w:val="20"/>
              </w:rPr>
              <w:t>Schedule of materials</w:t>
            </w:r>
          </w:p>
        </w:tc>
        <w:tc>
          <w:tcPr>
            <w:tcW w:w="1100" w:type="dxa"/>
            <w:tcBorders>
              <w:top w:val="nil"/>
              <w:bottom w:val="nil"/>
              <w:right w:val="single" w:sz="4" w:space="0" w:color="auto"/>
            </w:tcBorders>
            <w:vAlign w:val="center"/>
          </w:tcPr>
          <w:p w14:paraId="39589106"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n/a</w:t>
            </w:r>
          </w:p>
        </w:tc>
        <w:tc>
          <w:tcPr>
            <w:tcW w:w="1101" w:type="dxa"/>
            <w:tcBorders>
              <w:top w:val="nil"/>
              <w:left w:val="single" w:sz="4" w:space="0" w:color="auto"/>
              <w:bottom w:val="nil"/>
              <w:right w:val="single" w:sz="4" w:space="0" w:color="auto"/>
            </w:tcBorders>
            <w:vAlign w:val="center"/>
          </w:tcPr>
          <w:p w14:paraId="15C052B9"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100</w:t>
            </w:r>
          </w:p>
        </w:tc>
        <w:tc>
          <w:tcPr>
            <w:tcW w:w="1100" w:type="dxa"/>
            <w:tcBorders>
              <w:top w:val="nil"/>
              <w:left w:val="single" w:sz="4" w:space="0" w:color="auto"/>
              <w:bottom w:val="nil"/>
              <w:right w:val="single" w:sz="4" w:space="0" w:color="auto"/>
            </w:tcBorders>
            <w:vAlign w:val="center"/>
          </w:tcPr>
          <w:p w14:paraId="0E3237E3"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n/a</w:t>
            </w:r>
          </w:p>
        </w:tc>
        <w:tc>
          <w:tcPr>
            <w:tcW w:w="1101" w:type="dxa"/>
            <w:tcBorders>
              <w:top w:val="nil"/>
              <w:left w:val="single" w:sz="4" w:space="0" w:color="auto"/>
              <w:bottom w:val="nil"/>
              <w:right w:val="single" w:sz="8" w:space="0" w:color="auto"/>
            </w:tcBorders>
            <w:vAlign w:val="center"/>
          </w:tcPr>
          <w:p w14:paraId="3796A72D"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n/a</w:t>
            </w:r>
          </w:p>
        </w:tc>
      </w:tr>
      <w:tr w:rsidR="00271040" w14:paraId="73684440" w14:textId="77777777" w:rsidTr="007C501F">
        <w:tc>
          <w:tcPr>
            <w:tcW w:w="3385" w:type="dxa"/>
            <w:tcBorders>
              <w:top w:val="nil"/>
              <w:left w:val="single" w:sz="8" w:space="0" w:color="auto"/>
              <w:bottom w:val="nil"/>
            </w:tcBorders>
            <w:tcMar>
              <w:left w:w="68" w:type="dxa"/>
              <w:right w:w="68" w:type="dxa"/>
            </w:tcMar>
            <w:vAlign w:val="center"/>
          </w:tcPr>
          <w:p w14:paraId="52E30843" w14:textId="77777777" w:rsidR="003101CC" w:rsidRPr="001F1765" w:rsidRDefault="00206481" w:rsidP="00AC0703">
            <w:pPr>
              <w:pStyle w:val="TableParagraph"/>
              <w:rPr>
                <w:rFonts w:cs="Times New Roman"/>
                <w:sz w:val="20"/>
                <w:szCs w:val="20"/>
              </w:rPr>
            </w:pPr>
            <w:r w:rsidRPr="001F1765">
              <w:rPr>
                <w:rFonts w:cs="Times New Roman"/>
                <w:sz w:val="20"/>
                <w:szCs w:val="20"/>
              </w:rPr>
              <w:t>Schedule of rates contracts</w:t>
            </w:r>
          </w:p>
        </w:tc>
        <w:tc>
          <w:tcPr>
            <w:tcW w:w="1100" w:type="dxa"/>
            <w:tcBorders>
              <w:top w:val="nil"/>
              <w:bottom w:val="nil"/>
              <w:right w:val="single" w:sz="4" w:space="0" w:color="auto"/>
            </w:tcBorders>
            <w:vAlign w:val="center"/>
          </w:tcPr>
          <w:p w14:paraId="6AC0D278"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7,5</w:t>
            </w:r>
          </w:p>
        </w:tc>
        <w:tc>
          <w:tcPr>
            <w:tcW w:w="1101" w:type="dxa"/>
            <w:tcBorders>
              <w:top w:val="nil"/>
              <w:left w:val="single" w:sz="4" w:space="0" w:color="auto"/>
              <w:bottom w:val="nil"/>
              <w:right w:val="single" w:sz="4" w:space="0" w:color="auto"/>
            </w:tcBorders>
            <w:vAlign w:val="center"/>
          </w:tcPr>
          <w:p w14:paraId="02574786"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12,5</w:t>
            </w:r>
          </w:p>
        </w:tc>
        <w:tc>
          <w:tcPr>
            <w:tcW w:w="1100" w:type="dxa"/>
            <w:tcBorders>
              <w:top w:val="nil"/>
              <w:left w:val="single" w:sz="4" w:space="0" w:color="auto"/>
              <w:bottom w:val="nil"/>
              <w:right w:val="single" w:sz="4" w:space="0" w:color="auto"/>
            </w:tcBorders>
            <w:vAlign w:val="center"/>
          </w:tcPr>
          <w:p w14:paraId="695F91CE"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40</w:t>
            </w:r>
          </w:p>
        </w:tc>
        <w:tc>
          <w:tcPr>
            <w:tcW w:w="1101" w:type="dxa"/>
            <w:tcBorders>
              <w:top w:val="nil"/>
              <w:left w:val="single" w:sz="4" w:space="0" w:color="auto"/>
              <w:bottom w:val="nil"/>
              <w:right w:val="single" w:sz="8" w:space="0" w:color="auto"/>
            </w:tcBorders>
            <w:vAlign w:val="center"/>
          </w:tcPr>
          <w:p w14:paraId="12697989" w14:textId="77777777" w:rsidR="003101CC" w:rsidRPr="001F1765" w:rsidRDefault="00206481" w:rsidP="00DA6DBC">
            <w:pPr>
              <w:pStyle w:val="TableParagraph"/>
              <w:ind w:right="397"/>
              <w:jc w:val="right"/>
              <w:rPr>
                <w:rFonts w:cs="Times New Roman"/>
                <w:sz w:val="20"/>
                <w:szCs w:val="20"/>
              </w:rPr>
            </w:pPr>
            <w:r w:rsidRPr="001F1765">
              <w:rPr>
                <w:rFonts w:cs="Times New Roman"/>
                <w:w w:val="110"/>
                <w:sz w:val="20"/>
                <w:szCs w:val="20"/>
              </w:rPr>
              <w:t>40</w:t>
            </w:r>
          </w:p>
        </w:tc>
      </w:tr>
      <w:tr w:rsidR="00271040" w14:paraId="00A42B72" w14:textId="77777777" w:rsidTr="007C501F">
        <w:tc>
          <w:tcPr>
            <w:tcW w:w="3385" w:type="dxa"/>
            <w:tcBorders>
              <w:top w:val="nil"/>
              <w:left w:val="single" w:sz="8" w:space="0" w:color="auto"/>
              <w:bottom w:val="nil"/>
            </w:tcBorders>
            <w:tcMar>
              <w:left w:w="68" w:type="dxa"/>
              <w:right w:w="68" w:type="dxa"/>
            </w:tcMar>
            <w:vAlign w:val="center"/>
          </w:tcPr>
          <w:p w14:paraId="020F3008" w14:textId="77777777" w:rsidR="003101CC" w:rsidRPr="001F1765" w:rsidRDefault="00206481" w:rsidP="00AC0703">
            <w:pPr>
              <w:pStyle w:val="TableParagraph"/>
              <w:rPr>
                <w:rFonts w:cs="Times New Roman"/>
                <w:b/>
                <w:sz w:val="20"/>
                <w:szCs w:val="20"/>
              </w:rPr>
            </w:pPr>
            <w:r w:rsidRPr="001F1765">
              <w:rPr>
                <w:rFonts w:cs="Times New Roman"/>
                <w:b/>
                <w:w w:val="105"/>
                <w:sz w:val="20"/>
                <w:szCs w:val="20"/>
              </w:rPr>
              <w:t>Small or simple building works:</w:t>
            </w:r>
          </w:p>
        </w:tc>
        <w:tc>
          <w:tcPr>
            <w:tcW w:w="1100" w:type="dxa"/>
            <w:tcBorders>
              <w:top w:val="nil"/>
              <w:bottom w:val="nil"/>
              <w:right w:val="single" w:sz="4" w:space="0" w:color="auto"/>
            </w:tcBorders>
            <w:vAlign w:val="center"/>
          </w:tcPr>
          <w:p w14:paraId="1BB26239" w14:textId="77777777" w:rsidR="003101CC" w:rsidRPr="001F1765" w:rsidRDefault="003101CC" w:rsidP="00DA6DBC">
            <w:pPr>
              <w:pStyle w:val="TableParagraph"/>
              <w:ind w:right="397"/>
              <w:jc w:val="right"/>
              <w:rPr>
                <w:rFonts w:cs="Times New Roman"/>
                <w:sz w:val="20"/>
                <w:szCs w:val="20"/>
              </w:rPr>
            </w:pPr>
          </w:p>
        </w:tc>
        <w:tc>
          <w:tcPr>
            <w:tcW w:w="1101" w:type="dxa"/>
            <w:tcBorders>
              <w:top w:val="nil"/>
              <w:left w:val="single" w:sz="4" w:space="0" w:color="auto"/>
              <w:bottom w:val="nil"/>
              <w:right w:val="single" w:sz="4" w:space="0" w:color="auto"/>
            </w:tcBorders>
            <w:vAlign w:val="center"/>
          </w:tcPr>
          <w:p w14:paraId="256EEAD8" w14:textId="77777777" w:rsidR="003101CC" w:rsidRPr="001F1765" w:rsidRDefault="003101CC" w:rsidP="00DA6DBC">
            <w:pPr>
              <w:pStyle w:val="TableParagraph"/>
              <w:ind w:right="397"/>
              <w:jc w:val="right"/>
              <w:rPr>
                <w:rFonts w:cs="Times New Roman"/>
                <w:sz w:val="20"/>
                <w:szCs w:val="20"/>
              </w:rPr>
            </w:pPr>
          </w:p>
        </w:tc>
        <w:tc>
          <w:tcPr>
            <w:tcW w:w="1100" w:type="dxa"/>
            <w:tcBorders>
              <w:top w:val="nil"/>
              <w:left w:val="single" w:sz="4" w:space="0" w:color="auto"/>
              <w:bottom w:val="nil"/>
              <w:right w:val="single" w:sz="4" w:space="0" w:color="auto"/>
            </w:tcBorders>
            <w:vAlign w:val="center"/>
          </w:tcPr>
          <w:p w14:paraId="2B342B8C" w14:textId="77777777" w:rsidR="003101CC" w:rsidRPr="001F1765" w:rsidRDefault="003101CC" w:rsidP="00DA6DBC">
            <w:pPr>
              <w:pStyle w:val="TableParagraph"/>
              <w:ind w:right="397"/>
              <w:jc w:val="right"/>
              <w:rPr>
                <w:rFonts w:cs="Times New Roman"/>
                <w:sz w:val="20"/>
                <w:szCs w:val="20"/>
              </w:rPr>
            </w:pPr>
          </w:p>
        </w:tc>
        <w:tc>
          <w:tcPr>
            <w:tcW w:w="1101" w:type="dxa"/>
            <w:tcBorders>
              <w:top w:val="nil"/>
              <w:left w:val="single" w:sz="4" w:space="0" w:color="auto"/>
              <w:bottom w:val="nil"/>
              <w:right w:val="single" w:sz="8" w:space="0" w:color="auto"/>
            </w:tcBorders>
            <w:vAlign w:val="center"/>
          </w:tcPr>
          <w:p w14:paraId="0B7773DA" w14:textId="77777777" w:rsidR="003101CC" w:rsidRPr="001F1765" w:rsidRDefault="003101CC" w:rsidP="00DA6DBC">
            <w:pPr>
              <w:pStyle w:val="TableParagraph"/>
              <w:ind w:right="397"/>
              <w:jc w:val="right"/>
              <w:rPr>
                <w:rFonts w:cs="Times New Roman"/>
                <w:sz w:val="20"/>
                <w:szCs w:val="20"/>
              </w:rPr>
            </w:pPr>
          </w:p>
        </w:tc>
      </w:tr>
      <w:tr w:rsidR="00271040" w14:paraId="7C525918" w14:textId="77777777" w:rsidTr="007C501F">
        <w:tc>
          <w:tcPr>
            <w:tcW w:w="3385" w:type="dxa"/>
            <w:tcBorders>
              <w:top w:val="nil"/>
              <w:left w:val="single" w:sz="8" w:space="0" w:color="auto"/>
              <w:bottom w:val="nil"/>
            </w:tcBorders>
            <w:tcMar>
              <w:left w:w="68" w:type="dxa"/>
              <w:right w:w="68" w:type="dxa"/>
            </w:tcMar>
            <w:vAlign w:val="center"/>
          </w:tcPr>
          <w:p w14:paraId="35235F33" w14:textId="0EE336A2" w:rsidR="003101CC" w:rsidRPr="001F1765" w:rsidRDefault="00206481" w:rsidP="00AC0703">
            <w:pPr>
              <w:pStyle w:val="TableParagraph"/>
              <w:rPr>
                <w:rFonts w:cs="Times New Roman"/>
                <w:sz w:val="20"/>
                <w:szCs w:val="20"/>
              </w:rPr>
            </w:pPr>
            <w:r w:rsidRPr="001F1765">
              <w:rPr>
                <w:rFonts w:cs="Times New Roman"/>
                <w:w w:val="105"/>
                <w:sz w:val="20"/>
                <w:szCs w:val="20"/>
              </w:rPr>
              <w:t>Bills</w:t>
            </w:r>
            <w:r w:rsidR="007418E9">
              <w:rPr>
                <w:rFonts w:cs="Times New Roman"/>
                <w:w w:val="105"/>
                <w:sz w:val="20"/>
                <w:szCs w:val="20"/>
              </w:rPr>
              <w:t xml:space="preserve"> o</w:t>
            </w:r>
            <w:r w:rsidRPr="001F1765">
              <w:rPr>
                <w:rFonts w:cs="Times New Roman"/>
                <w:w w:val="105"/>
                <w:sz w:val="20"/>
                <w:szCs w:val="20"/>
              </w:rPr>
              <w:t>f provisional quantities</w:t>
            </w:r>
          </w:p>
        </w:tc>
        <w:tc>
          <w:tcPr>
            <w:tcW w:w="1100" w:type="dxa"/>
            <w:tcBorders>
              <w:top w:val="nil"/>
              <w:bottom w:val="nil"/>
              <w:right w:val="single" w:sz="4" w:space="0" w:color="auto"/>
            </w:tcBorders>
            <w:vAlign w:val="center"/>
          </w:tcPr>
          <w:p w14:paraId="2907F681" w14:textId="77777777" w:rsidR="003101CC" w:rsidRPr="001F1765" w:rsidRDefault="003101CC" w:rsidP="00DA6DBC">
            <w:pPr>
              <w:pStyle w:val="TableParagraph"/>
              <w:ind w:right="397"/>
              <w:jc w:val="right"/>
              <w:rPr>
                <w:rFonts w:cs="Times New Roman"/>
                <w:sz w:val="20"/>
                <w:szCs w:val="20"/>
              </w:rPr>
            </w:pPr>
          </w:p>
        </w:tc>
        <w:tc>
          <w:tcPr>
            <w:tcW w:w="1101" w:type="dxa"/>
            <w:tcBorders>
              <w:top w:val="nil"/>
              <w:left w:val="single" w:sz="4" w:space="0" w:color="auto"/>
              <w:bottom w:val="nil"/>
              <w:right w:val="single" w:sz="4" w:space="0" w:color="auto"/>
            </w:tcBorders>
            <w:vAlign w:val="center"/>
          </w:tcPr>
          <w:p w14:paraId="31888313" w14:textId="77777777" w:rsidR="003101CC" w:rsidRPr="001F1765" w:rsidRDefault="003101CC" w:rsidP="00DA6DBC">
            <w:pPr>
              <w:pStyle w:val="TableParagraph"/>
              <w:ind w:right="397"/>
              <w:jc w:val="right"/>
              <w:rPr>
                <w:rFonts w:cs="Times New Roman"/>
                <w:sz w:val="20"/>
                <w:szCs w:val="20"/>
              </w:rPr>
            </w:pPr>
          </w:p>
        </w:tc>
        <w:tc>
          <w:tcPr>
            <w:tcW w:w="1100" w:type="dxa"/>
            <w:tcBorders>
              <w:top w:val="nil"/>
              <w:left w:val="single" w:sz="4" w:space="0" w:color="auto"/>
              <w:bottom w:val="nil"/>
              <w:right w:val="single" w:sz="4" w:space="0" w:color="auto"/>
            </w:tcBorders>
            <w:vAlign w:val="center"/>
          </w:tcPr>
          <w:p w14:paraId="5D1947AE" w14:textId="77777777" w:rsidR="003101CC" w:rsidRPr="001F1765" w:rsidRDefault="003101CC" w:rsidP="00DA6DBC">
            <w:pPr>
              <w:pStyle w:val="TableParagraph"/>
              <w:ind w:right="397"/>
              <w:jc w:val="right"/>
              <w:rPr>
                <w:rFonts w:cs="Times New Roman"/>
                <w:sz w:val="20"/>
                <w:szCs w:val="20"/>
              </w:rPr>
            </w:pPr>
          </w:p>
        </w:tc>
        <w:tc>
          <w:tcPr>
            <w:tcW w:w="1101" w:type="dxa"/>
            <w:tcBorders>
              <w:top w:val="nil"/>
              <w:left w:val="single" w:sz="4" w:space="0" w:color="auto"/>
              <w:bottom w:val="nil"/>
              <w:right w:val="single" w:sz="8" w:space="0" w:color="auto"/>
            </w:tcBorders>
            <w:vAlign w:val="center"/>
          </w:tcPr>
          <w:p w14:paraId="2DDFC341" w14:textId="77777777" w:rsidR="003101CC" w:rsidRPr="001F1765" w:rsidRDefault="003101CC" w:rsidP="00DA6DBC">
            <w:pPr>
              <w:pStyle w:val="TableParagraph"/>
              <w:ind w:right="397"/>
              <w:jc w:val="right"/>
              <w:rPr>
                <w:rFonts w:cs="Times New Roman"/>
                <w:sz w:val="20"/>
                <w:szCs w:val="20"/>
              </w:rPr>
            </w:pPr>
          </w:p>
        </w:tc>
      </w:tr>
      <w:tr w:rsidR="00271040" w14:paraId="1FB54D21" w14:textId="77777777" w:rsidTr="006B5FEA">
        <w:tc>
          <w:tcPr>
            <w:tcW w:w="3385" w:type="dxa"/>
            <w:tcBorders>
              <w:top w:val="nil"/>
              <w:left w:val="single" w:sz="8" w:space="0" w:color="auto"/>
              <w:bottom w:val="nil"/>
            </w:tcBorders>
            <w:tcMar>
              <w:left w:w="68" w:type="dxa"/>
              <w:right w:w="68" w:type="dxa"/>
            </w:tcMar>
            <w:vAlign w:val="center"/>
          </w:tcPr>
          <w:p w14:paraId="7E30EEAB" w14:textId="77777777" w:rsidR="003101CC" w:rsidRPr="001F1765" w:rsidRDefault="00206481" w:rsidP="00AC0703">
            <w:pPr>
              <w:pStyle w:val="TableParagraph"/>
              <w:rPr>
                <w:rFonts w:cs="Times New Roman"/>
                <w:sz w:val="20"/>
                <w:szCs w:val="20"/>
              </w:rPr>
            </w:pPr>
            <w:r w:rsidRPr="001F1765">
              <w:rPr>
                <w:rFonts w:cs="Times New Roman"/>
                <w:w w:val="105"/>
                <w:sz w:val="20"/>
                <w:szCs w:val="20"/>
              </w:rPr>
              <w:t>contracts</w:t>
            </w:r>
          </w:p>
        </w:tc>
        <w:tc>
          <w:tcPr>
            <w:tcW w:w="1100" w:type="dxa"/>
            <w:tcBorders>
              <w:top w:val="nil"/>
              <w:bottom w:val="nil"/>
              <w:right w:val="single" w:sz="4" w:space="0" w:color="auto"/>
            </w:tcBorders>
            <w:vAlign w:val="center"/>
          </w:tcPr>
          <w:p w14:paraId="36410730"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10</w:t>
            </w:r>
          </w:p>
        </w:tc>
        <w:tc>
          <w:tcPr>
            <w:tcW w:w="1101" w:type="dxa"/>
            <w:tcBorders>
              <w:top w:val="nil"/>
              <w:left w:val="single" w:sz="4" w:space="0" w:color="auto"/>
              <w:bottom w:val="nil"/>
              <w:right w:val="single" w:sz="4" w:space="0" w:color="auto"/>
            </w:tcBorders>
            <w:vAlign w:val="center"/>
          </w:tcPr>
          <w:p w14:paraId="77BD9A05"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20</w:t>
            </w:r>
          </w:p>
        </w:tc>
        <w:tc>
          <w:tcPr>
            <w:tcW w:w="1100" w:type="dxa"/>
            <w:tcBorders>
              <w:top w:val="nil"/>
              <w:left w:val="single" w:sz="4" w:space="0" w:color="auto"/>
              <w:bottom w:val="nil"/>
              <w:right w:val="single" w:sz="4" w:space="0" w:color="auto"/>
            </w:tcBorders>
            <w:vAlign w:val="center"/>
          </w:tcPr>
          <w:p w14:paraId="3FCAAD00"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45</w:t>
            </w:r>
          </w:p>
        </w:tc>
        <w:tc>
          <w:tcPr>
            <w:tcW w:w="1101" w:type="dxa"/>
            <w:tcBorders>
              <w:top w:val="nil"/>
              <w:left w:val="single" w:sz="4" w:space="0" w:color="auto"/>
              <w:bottom w:val="nil"/>
              <w:right w:val="single" w:sz="8" w:space="0" w:color="auto"/>
            </w:tcBorders>
            <w:vAlign w:val="center"/>
          </w:tcPr>
          <w:p w14:paraId="5D5BA427"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25</w:t>
            </w:r>
          </w:p>
        </w:tc>
      </w:tr>
      <w:tr w:rsidR="00271040" w14:paraId="3125CD1E" w14:textId="77777777" w:rsidTr="006B5FEA">
        <w:tc>
          <w:tcPr>
            <w:tcW w:w="3385" w:type="dxa"/>
            <w:tcBorders>
              <w:top w:val="nil"/>
              <w:left w:val="single" w:sz="8" w:space="0" w:color="auto"/>
              <w:bottom w:val="single" w:sz="8" w:space="0" w:color="auto"/>
            </w:tcBorders>
            <w:tcMar>
              <w:left w:w="68" w:type="dxa"/>
              <w:right w:w="68" w:type="dxa"/>
            </w:tcMar>
            <w:vAlign w:val="center"/>
          </w:tcPr>
          <w:p w14:paraId="095CA01E" w14:textId="04DC1D8C" w:rsidR="003101CC" w:rsidRPr="001F1765" w:rsidRDefault="00206481" w:rsidP="00AC0703">
            <w:pPr>
              <w:pStyle w:val="TableParagraph"/>
              <w:rPr>
                <w:rFonts w:cs="Times New Roman"/>
                <w:sz w:val="20"/>
                <w:szCs w:val="20"/>
              </w:rPr>
            </w:pPr>
            <w:r w:rsidRPr="001F1765">
              <w:rPr>
                <w:rFonts w:cs="Times New Roman"/>
                <w:sz w:val="20"/>
                <w:szCs w:val="20"/>
              </w:rPr>
              <w:t>Bills of quantities contracts</w:t>
            </w:r>
          </w:p>
        </w:tc>
        <w:tc>
          <w:tcPr>
            <w:tcW w:w="1100" w:type="dxa"/>
            <w:tcBorders>
              <w:top w:val="nil"/>
              <w:bottom w:val="single" w:sz="8" w:space="0" w:color="auto"/>
              <w:right w:val="single" w:sz="4" w:space="0" w:color="auto"/>
            </w:tcBorders>
            <w:vAlign w:val="center"/>
          </w:tcPr>
          <w:p w14:paraId="41774A0F"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10</w:t>
            </w:r>
          </w:p>
        </w:tc>
        <w:tc>
          <w:tcPr>
            <w:tcW w:w="1101" w:type="dxa"/>
            <w:tcBorders>
              <w:top w:val="nil"/>
              <w:left w:val="single" w:sz="4" w:space="0" w:color="auto"/>
              <w:bottom w:val="single" w:sz="8" w:space="0" w:color="auto"/>
              <w:right w:val="single" w:sz="4" w:space="0" w:color="auto"/>
            </w:tcBorders>
            <w:vAlign w:val="center"/>
          </w:tcPr>
          <w:p w14:paraId="1860ECE8" w14:textId="77777777" w:rsidR="003101CC" w:rsidRPr="001F1765" w:rsidRDefault="00206481" w:rsidP="00DA6DBC">
            <w:pPr>
              <w:pStyle w:val="TableParagraph"/>
              <w:ind w:right="397"/>
              <w:jc w:val="right"/>
              <w:rPr>
                <w:rFonts w:cs="Times New Roman"/>
                <w:sz w:val="20"/>
                <w:szCs w:val="20"/>
              </w:rPr>
            </w:pPr>
            <w:r w:rsidRPr="001F1765">
              <w:rPr>
                <w:rFonts w:cs="Times New Roman"/>
                <w:sz w:val="20"/>
                <w:szCs w:val="20"/>
              </w:rPr>
              <w:t>35</w:t>
            </w:r>
          </w:p>
        </w:tc>
        <w:tc>
          <w:tcPr>
            <w:tcW w:w="1100" w:type="dxa"/>
            <w:tcBorders>
              <w:top w:val="nil"/>
              <w:left w:val="single" w:sz="4" w:space="0" w:color="auto"/>
              <w:bottom w:val="single" w:sz="8" w:space="0" w:color="auto"/>
              <w:right w:val="single" w:sz="4" w:space="0" w:color="auto"/>
            </w:tcBorders>
            <w:vAlign w:val="center"/>
          </w:tcPr>
          <w:p w14:paraId="596D3062" w14:textId="77777777" w:rsidR="003101CC" w:rsidRPr="001F1765" w:rsidRDefault="00206481" w:rsidP="00DA6DBC">
            <w:pPr>
              <w:pStyle w:val="TableParagraph"/>
              <w:ind w:right="397"/>
              <w:jc w:val="right"/>
              <w:rPr>
                <w:rFonts w:cs="Times New Roman"/>
                <w:sz w:val="20"/>
                <w:szCs w:val="20"/>
              </w:rPr>
            </w:pPr>
            <w:r w:rsidRPr="001F1765">
              <w:rPr>
                <w:rFonts w:cs="Times New Roman"/>
                <w:w w:val="110"/>
                <w:sz w:val="20"/>
                <w:szCs w:val="20"/>
              </w:rPr>
              <w:t>40</w:t>
            </w:r>
          </w:p>
        </w:tc>
        <w:tc>
          <w:tcPr>
            <w:tcW w:w="1101" w:type="dxa"/>
            <w:tcBorders>
              <w:top w:val="nil"/>
              <w:left w:val="single" w:sz="4" w:space="0" w:color="auto"/>
              <w:bottom w:val="single" w:sz="8" w:space="0" w:color="auto"/>
              <w:right w:val="single" w:sz="8" w:space="0" w:color="auto"/>
            </w:tcBorders>
            <w:vAlign w:val="center"/>
          </w:tcPr>
          <w:p w14:paraId="4CE610F8" w14:textId="77777777" w:rsidR="003101CC" w:rsidRPr="001F1765" w:rsidRDefault="00206481" w:rsidP="00DA6DBC">
            <w:pPr>
              <w:pStyle w:val="TableParagraph"/>
              <w:ind w:right="397"/>
              <w:jc w:val="right"/>
              <w:rPr>
                <w:rFonts w:cs="Times New Roman"/>
                <w:sz w:val="20"/>
                <w:szCs w:val="20"/>
              </w:rPr>
            </w:pPr>
            <w:r w:rsidRPr="001F1765">
              <w:rPr>
                <w:rFonts w:cs="Times New Roman"/>
                <w:w w:val="105"/>
                <w:sz w:val="20"/>
                <w:szCs w:val="20"/>
              </w:rPr>
              <w:t>15</w:t>
            </w:r>
          </w:p>
        </w:tc>
      </w:tr>
    </w:tbl>
    <w:p w14:paraId="123AB545" w14:textId="77777777" w:rsidR="003101CC" w:rsidRDefault="003101CC" w:rsidP="003101CC">
      <w:pPr>
        <w:pStyle w:val="REG-P0"/>
      </w:pPr>
    </w:p>
    <w:p w14:paraId="7148C279" w14:textId="23051129" w:rsidR="003101CC" w:rsidRDefault="00206481" w:rsidP="001F1765">
      <w:pPr>
        <w:pStyle w:val="REG-P0"/>
        <w:rPr>
          <w:b/>
        </w:rPr>
      </w:pPr>
      <w:r>
        <w:rPr>
          <w:lang w:val="en-ZA" w:eastAsia="en-ZA"/>
        </w:rPr>
        <mc:AlternateContent>
          <mc:Choice Requires="wps">
            <w:drawing>
              <wp:anchor distT="0" distB="0" distL="114300" distR="114300" simplePos="0" relativeHeight="251665408" behindDoc="1" locked="0" layoutInCell="1" allowOverlap="1" wp14:anchorId="41E4925A" wp14:editId="78CF63FA">
                <wp:simplePos x="0" y="0"/>
                <wp:positionH relativeFrom="page">
                  <wp:posOffset>3606165</wp:posOffset>
                </wp:positionH>
                <wp:positionV relativeFrom="page">
                  <wp:posOffset>10081895</wp:posOffset>
                </wp:positionV>
                <wp:extent cx="0" cy="0"/>
                <wp:effectExtent l="5715" t="242570" r="13335" b="24257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B1A7" id="Straight Connector 13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95pt,793.85pt" to="283.95pt,7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" strokeweight=".16964mm">
                <w10:wrap anchorx="page" anchory="page"/>
              </v:line>
            </w:pict>
          </mc:Fallback>
        </mc:AlternateContent>
      </w:r>
      <w:r>
        <w:rPr>
          <w:lang w:val="en-ZA" w:eastAsia="en-ZA"/>
        </w:rPr>
        <mc:AlternateContent>
          <mc:Choice Requires="wps">
            <w:drawing>
              <wp:anchor distT="0" distB="0" distL="114300" distR="114300" simplePos="0" relativeHeight="251669504" behindDoc="0" locked="0" layoutInCell="1" allowOverlap="1" wp14:anchorId="473B737E" wp14:editId="4ECA8469">
                <wp:simplePos x="0" y="0"/>
                <wp:positionH relativeFrom="page">
                  <wp:posOffset>808990</wp:posOffset>
                </wp:positionH>
                <wp:positionV relativeFrom="page">
                  <wp:posOffset>10081895</wp:posOffset>
                </wp:positionV>
                <wp:extent cx="0" cy="0"/>
                <wp:effectExtent l="8890" t="80645" r="10160" b="7175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F53A9" id="Straight Connector 129"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7pt,793.85pt" to="63.7pt,7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" strokeweight=".16964mm">
                <w10:wrap anchorx="page" anchory="page"/>
              </v:line>
            </w:pict>
          </mc:Fallback>
        </mc:AlternateContent>
      </w:r>
      <w:r>
        <w:rPr>
          <w:lang w:val="en-ZA" w:eastAsia="en-ZA"/>
        </w:rPr>
        <mc:AlternateContent>
          <mc:Choice Requires="wps">
            <w:drawing>
              <wp:anchor distT="0" distB="0" distL="114300" distR="114300" simplePos="0" relativeHeight="251671552" behindDoc="0" locked="0" layoutInCell="1" allowOverlap="1" wp14:anchorId="4A468F9A" wp14:editId="0FFFF086">
                <wp:simplePos x="0" y="0"/>
                <wp:positionH relativeFrom="page">
                  <wp:posOffset>2959100</wp:posOffset>
                </wp:positionH>
                <wp:positionV relativeFrom="page">
                  <wp:posOffset>10081895</wp:posOffset>
                </wp:positionV>
                <wp:extent cx="0" cy="0"/>
                <wp:effectExtent l="6350" t="80645" r="12700" b="7175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7EFF" id="Straight Connector 12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pt,793.85pt" to="233pt,7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" strokeweight=".16964mm">
                <w10:wrap anchorx="page" anchory="page"/>
              </v:line>
            </w:pict>
          </mc:Fallback>
        </mc:AlternateContent>
      </w:r>
      <w:r>
        <w:rPr>
          <w:lang w:val="en-ZA" w:eastAsia="en-ZA"/>
        </w:rPr>
        <mc:AlternateContent>
          <mc:Choice Requires="wps">
            <w:drawing>
              <wp:anchor distT="0" distB="0" distL="114300" distR="114300" simplePos="0" relativeHeight="251673600" behindDoc="0" locked="0" layoutInCell="1" allowOverlap="1" wp14:anchorId="68BAF588" wp14:editId="676A4CBA">
                <wp:simplePos x="0" y="0"/>
                <wp:positionH relativeFrom="page">
                  <wp:posOffset>4265930</wp:posOffset>
                </wp:positionH>
                <wp:positionV relativeFrom="page">
                  <wp:posOffset>10081895</wp:posOffset>
                </wp:positionV>
                <wp:extent cx="0" cy="0"/>
                <wp:effectExtent l="8255" t="80645" r="10795" b="7175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E9726" id="Straight Connector 12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9pt,793.85pt" to="335.9pt,7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" strokeweight=".16964mm">
                <w10:wrap anchorx="page" anchory="page"/>
              </v:line>
            </w:pict>
          </mc:Fallback>
        </mc:AlternateContent>
      </w:r>
      <w:r>
        <w:rPr>
          <w:lang w:val="en-ZA" w:eastAsia="en-ZA"/>
        </w:rPr>
        <mc:AlternateContent>
          <mc:Choice Requires="wps">
            <w:drawing>
              <wp:anchor distT="0" distB="0" distL="114300" distR="114300" simplePos="0" relativeHeight="251675648" behindDoc="0" locked="0" layoutInCell="1" allowOverlap="1" wp14:anchorId="740E721B" wp14:editId="693C5D48">
                <wp:simplePos x="0" y="0"/>
                <wp:positionH relativeFrom="page">
                  <wp:posOffset>4986020</wp:posOffset>
                </wp:positionH>
                <wp:positionV relativeFrom="page">
                  <wp:posOffset>10081895</wp:posOffset>
                </wp:positionV>
                <wp:extent cx="0" cy="0"/>
                <wp:effectExtent l="13970" t="80645" r="5080" b="7175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A676C" id="Straight Connector 12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6pt,793.85pt" to="392.6pt,7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" strokeweight=".16964mm">
                <w10:wrap anchorx="page" anchory="page"/>
              </v:line>
            </w:pict>
          </mc:Fallback>
        </mc:AlternateContent>
      </w:r>
      <w:r>
        <w:rPr>
          <w:rFonts w:ascii="Arial"/>
          <w:w w:val="105"/>
          <w:sz w:val="27"/>
        </w:rPr>
        <w:t>*</w:t>
      </w:r>
      <w:r>
        <w:rPr>
          <w:w w:val="105"/>
          <w:sz w:val="21"/>
        </w:rPr>
        <w:t xml:space="preserve">Applicable only to </w:t>
      </w:r>
      <w:r>
        <w:rPr>
          <w:b/>
          <w:w w:val="105"/>
        </w:rPr>
        <w:t>replication</w:t>
      </w:r>
    </w:p>
    <w:p w14:paraId="0F5994D2" w14:textId="77777777" w:rsidR="003101CC" w:rsidRDefault="003101CC" w:rsidP="003101CC">
      <w:pPr>
        <w:pStyle w:val="BodyText"/>
        <w:spacing w:before="9"/>
        <w:rPr>
          <w:b/>
        </w:rPr>
      </w:pPr>
    </w:p>
    <w:p w14:paraId="7AAEEF50" w14:textId="77777777" w:rsidR="003101CC" w:rsidRPr="00AA2583" w:rsidRDefault="00206481" w:rsidP="00AA2583">
      <w:pPr>
        <w:pStyle w:val="REG-Pa"/>
      </w:pPr>
      <w:r>
        <w:rPr>
          <w:w w:val="105"/>
        </w:rPr>
        <w:t>(8)</w:t>
      </w:r>
      <w:r>
        <w:rPr>
          <w:w w:val="105"/>
        </w:rPr>
        <w:tab/>
        <w:t>(a)</w:t>
      </w:r>
      <w:r>
        <w:rPr>
          <w:w w:val="105"/>
        </w:rPr>
        <w:tab/>
      </w:r>
      <w:r w:rsidRPr="00AA2583">
        <w:t xml:space="preserve">The </w:t>
      </w:r>
      <w:r w:rsidRPr="00AA2583">
        <w:rPr>
          <w:b/>
        </w:rPr>
        <w:t>fee</w:t>
      </w:r>
      <w:r w:rsidRPr="00AA2583">
        <w:t xml:space="preserve"> for single unit </w:t>
      </w:r>
      <w:r w:rsidRPr="00AA2583">
        <w:rPr>
          <w:b/>
        </w:rPr>
        <w:t>affordable housing</w:t>
      </w:r>
      <w:r w:rsidRPr="00AA2583">
        <w:t xml:space="preserve"> shall be calculated by adding together the charges in the following table:</w:t>
      </w:r>
    </w:p>
    <w:p w14:paraId="241FC4A7" w14:textId="77777777" w:rsidR="001F1765" w:rsidRDefault="001F1765" w:rsidP="001F1765">
      <w:pPr>
        <w:pStyle w:val="REG-P1"/>
        <w:rPr>
          <w:w w:val="105"/>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68" w:type="dxa"/>
          <w:bottom w:w="57" w:type="dxa"/>
          <w:right w:w="68" w:type="dxa"/>
        </w:tblCellMar>
        <w:tblLook w:val="01E0" w:firstRow="1" w:lastRow="1" w:firstColumn="1" w:lastColumn="1" w:noHBand="0" w:noVBand="0"/>
      </w:tblPr>
      <w:tblGrid>
        <w:gridCol w:w="1550"/>
        <w:gridCol w:w="3118"/>
        <w:gridCol w:w="2552"/>
      </w:tblGrid>
      <w:tr w:rsidR="00271040" w14:paraId="723C0BC2" w14:textId="77777777" w:rsidTr="001E0140">
        <w:trPr>
          <w:trHeight w:val="22"/>
        </w:trPr>
        <w:tc>
          <w:tcPr>
            <w:tcW w:w="1550" w:type="dxa"/>
            <w:tcBorders>
              <w:bottom w:val="single" w:sz="4" w:space="0" w:color="000000"/>
              <w:right w:val="single" w:sz="4" w:space="0" w:color="000000"/>
            </w:tcBorders>
            <w:vAlign w:val="center"/>
          </w:tcPr>
          <w:p w14:paraId="71C8066B" w14:textId="77777777" w:rsidR="003101CC" w:rsidRPr="00575C4B" w:rsidRDefault="00206481" w:rsidP="00575C4B">
            <w:pPr>
              <w:pStyle w:val="TableParagraph"/>
              <w:spacing w:before="39"/>
              <w:ind w:left="50" w:right="40"/>
              <w:jc w:val="center"/>
              <w:rPr>
                <w:rFonts w:cs="Times New Roman"/>
                <w:sz w:val="20"/>
                <w:szCs w:val="20"/>
              </w:rPr>
            </w:pPr>
            <w:r w:rsidRPr="00575C4B">
              <w:rPr>
                <w:rFonts w:cs="Times New Roman"/>
                <w:w w:val="105"/>
                <w:sz w:val="20"/>
                <w:szCs w:val="20"/>
              </w:rPr>
              <w:t>Primary charge</w:t>
            </w:r>
          </w:p>
        </w:tc>
        <w:tc>
          <w:tcPr>
            <w:tcW w:w="3118" w:type="dxa"/>
            <w:tcBorders>
              <w:left w:val="single" w:sz="4" w:space="0" w:color="000000"/>
              <w:bottom w:val="single" w:sz="4" w:space="0" w:color="000000"/>
              <w:right w:val="single" w:sz="4" w:space="0" w:color="000000"/>
            </w:tcBorders>
            <w:vAlign w:val="center"/>
          </w:tcPr>
          <w:p w14:paraId="21AB2937" w14:textId="77777777" w:rsidR="003101CC" w:rsidRPr="00575C4B" w:rsidRDefault="00206481" w:rsidP="00575C4B">
            <w:pPr>
              <w:pStyle w:val="TableParagraph"/>
              <w:spacing w:before="34"/>
              <w:ind w:left="676" w:right="655"/>
              <w:jc w:val="center"/>
              <w:rPr>
                <w:rFonts w:cs="Times New Roman"/>
                <w:sz w:val="20"/>
                <w:szCs w:val="20"/>
              </w:rPr>
            </w:pPr>
            <w:r w:rsidRPr="00575C4B">
              <w:rPr>
                <w:rFonts w:cs="Times New Roman"/>
                <w:w w:val="110"/>
                <w:sz w:val="20"/>
                <w:szCs w:val="20"/>
              </w:rPr>
              <w:t>Charge for prototypes</w:t>
            </w:r>
          </w:p>
        </w:tc>
        <w:tc>
          <w:tcPr>
            <w:tcW w:w="2552" w:type="dxa"/>
            <w:tcBorders>
              <w:left w:val="single" w:sz="4" w:space="0" w:color="000000"/>
              <w:bottom w:val="single" w:sz="4" w:space="0" w:color="000000"/>
            </w:tcBorders>
            <w:vAlign w:val="center"/>
          </w:tcPr>
          <w:p w14:paraId="3E58DDA6" w14:textId="77777777" w:rsidR="003101CC" w:rsidRPr="00575C4B" w:rsidRDefault="00206481" w:rsidP="00575C4B">
            <w:pPr>
              <w:pStyle w:val="TableParagraph"/>
              <w:spacing w:before="20"/>
              <w:ind w:left="250" w:right="238"/>
              <w:jc w:val="center"/>
              <w:rPr>
                <w:rFonts w:cs="Times New Roman"/>
                <w:b/>
                <w:sz w:val="20"/>
                <w:szCs w:val="20"/>
              </w:rPr>
            </w:pPr>
            <w:r w:rsidRPr="00575C4B">
              <w:rPr>
                <w:rFonts w:cs="Times New Roman"/>
                <w:w w:val="105"/>
                <w:sz w:val="20"/>
                <w:szCs w:val="20"/>
              </w:rPr>
              <w:t xml:space="preserve">Charge for </w:t>
            </w:r>
            <w:r w:rsidRPr="00575C4B">
              <w:rPr>
                <w:rFonts w:cs="Times New Roman"/>
                <w:b/>
                <w:w w:val="105"/>
                <w:sz w:val="20"/>
                <w:szCs w:val="20"/>
              </w:rPr>
              <w:t>replications</w:t>
            </w:r>
          </w:p>
        </w:tc>
      </w:tr>
      <w:tr w:rsidR="00271040" w14:paraId="603DEC3A" w14:textId="77777777" w:rsidTr="001E0140">
        <w:trPr>
          <w:trHeight w:val="22"/>
        </w:trPr>
        <w:tc>
          <w:tcPr>
            <w:tcW w:w="1550" w:type="dxa"/>
            <w:tcBorders>
              <w:top w:val="single" w:sz="4" w:space="0" w:color="000000"/>
              <w:bottom w:val="single" w:sz="4" w:space="0" w:color="000000"/>
              <w:right w:val="single" w:sz="4" w:space="0" w:color="000000"/>
            </w:tcBorders>
            <w:vAlign w:val="center"/>
          </w:tcPr>
          <w:p w14:paraId="049C053F" w14:textId="77777777" w:rsidR="003101CC" w:rsidRPr="00575C4B" w:rsidRDefault="00206481" w:rsidP="00575C4B">
            <w:pPr>
              <w:pStyle w:val="TableParagraph"/>
              <w:spacing w:before="43" w:line="201" w:lineRule="exact"/>
              <w:ind w:left="32"/>
              <w:jc w:val="center"/>
              <w:rPr>
                <w:rFonts w:cs="Times New Roman"/>
                <w:sz w:val="20"/>
                <w:szCs w:val="20"/>
              </w:rPr>
            </w:pPr>
            <w:r w:rsidRPr="00575C4B">
              <w:rPr>
                <w:rFonts w:cs="Times New Roman"/>
                <w:w w:val="98"/>
                <w:sz w:val="20"/>
                <w:szCs w:val="20"/>
              </w:rPr>
              <w:t>1</w:t>
            </w:r>
          </w:p>
        </w:tc>
        <w:tc>
          <w:tcPr>
            <w:tcW w:w="3118" w:type="dxa"/>
            <w:tcBorders>
              <w:top w:val="single" w:sz="4" w:space="0" w:color="000000"/>
              <w:left w:val="single" w:sz="4" w:space="0" w:color="000000"/>
              <w:bottom w:val="single" w:sz="4" w:space="0" w:color="000000"/>
              <w:right w:val="single" w:sz="4" w:space="0" w:color="000000"/>
            </w:tcBorders>
            <w:vAlign w:val="center"/>
          </w:tcPr>
          <w:p w14:paraId="7081E76C" w14:textId="77777777" w:rsidR="003101CC" w:rsidRPr="00575C4B" w:rsidRDefault="00206481" w:rsidP="00575C4B">
            <w:pPr>
              <w:pStyle w:val="TableParagraph"/>
              <w:spacing w:before="29" w:line="214" w:lineRule="exact"/>
              <w:ind w:left="52"/>
              <w:jc w:val="center"/>
              <w:rPr>
                <w:rFonts w:cs="Times New Roman"/>
                <w:sz w:val="20"/>
                <w:szCs w:val="20"/>
              </w:rPr>
            </w:pPr>
            <w:r w:rsidRPr="00575C4B">
              <w:rPr>
                <w:rFonts w:cs="Times New Roman"/>
                <w:w w:val="108"/>
                <w:sz w:val="20"/>
                <w:szCs w:val="20"/>
              </w:rPr>
              <w:t>2</w:t>
            </w:r>
          </w:p>
        </w:tc>
        <w:tc>
          <w:tcPr>
            <w:tcW w:w="2552" w:type="dxa"/>
            <w:tcBorders>
              <w:top w:val="single" w:sz="4" w:space="0" w:color="000000"/>
              <w:left w:val="single" w:sz="4" w:space="0" w:color="000000"/>
              <w:bottom w:val="single" w:sz="4" w:space="0" w:color="000000"/>
            </w:tcBorders>
            <w:vAlign w:val="center"/>
          </w:tcPr>
          <w:p w14:paraId="42981A83" w14:textId="77777777" w:rsidR="003101CC" w:rsidRPr="00575C4B" w:rsidRDefault="00206481" w:rsidP="00575C4B">
            <w:pPr>
              <w:pStyle w:val="TableParagraph"/>
              <w:spacing w:before="34" w:line="209" w:lineRule="exact"/>
              <w:ind w:left="16"/>
              <w:jc w:val="center"/>
              <w:rPr>
                <w:rFonts w:cs="Times New Roman"/>
                <w:sz w:val="20"/>
                <w:szCs w:val="20"/>
              </w:rPr>
            </w:pPr>
            <w:r w:rsidRPr="00575C4B">
              <w:rPr>
                <w:rFonts w:cs="Times New Roman"/>
                <w:w w:val="108"/>
                <w:sz w:val="20"/>
                <w:szCs w:val="20"/>
              </w:rPr>
              <w:t>3</w:t>
            </w:r>
          </w:p>
        </w:tc>
      </w:tr>
      <w:tr w:rsidR="00271040" w14:paraId="396D5D57" w14:textId="77777777" w:rsidTr="001E0140">
        <w:trPr>
          <w:trHeight w:val="22"/>
        </w:trPr>
        <w:tc>
          <w:tcPr>
            <w:tcW w:w="1550" w:type="dxa"/>
            <w:tcBorders>
              <w:top w:val="single" w:sz="4" w:space="0" w:color="000000"/>
              <w:right w:val="single" w:sz="4" w:space="0" w:color="000000"/>
            </w:tcBorders>
          </w:tcPr>
          <w:p w14:paraId="429C68B4" w14:textId="77777777" w:rsidR="003101CC" w:rsidRPr="00575C4B" w:rsidRDefault="00206481" w:rsidP="004F755C">
            <w:pPr>
              <w:pStyle w:val="TableParagraph"/>
              <w:spacing w:before="73"/>
              <w:ind w:left="50" w:right="11"/>
              <w:jc w:val="center"/>
              <w:rPr>
                <w:rFonts w:cs="Times New Roman"/>
                <w:sz w:val="20"/>
                <w:szCs w:val="20"/>
              </w:rPr>
            </w:pPr>
            <w:r w:rsidRPr="00575C4B">
              <w:rPr>
                <w:rFonts w:cs="Times New Roman"/>
                <w:w w:val="110"/>
                <w:sz w:val="20"/>
                <w:szCs w:val="20"/>
              </w:rPr>
              <w:t>N$26 000</w:t>
            </w:r>
          </w:p>
        </w:tc>
        <w:tc>
          <w:tcPr>
            <w:tcW w:w="3118" w:type="dxa"/>
            <w:tcBorders>
              <w:top w:val="single" w:sz="4" w:space="0" w:color="000000"/>
              <w:left w:val="single" w:sz="4" w:space="0" w:color="000000"/>
              <w:right w:val="single" w:sz="4" w:space="0" w:color="000000"/>
            </w:tcBorders>
          </w:tcPr>
          <w:p w14:paraId="05698FFF" w14:textId="77777777" w:rsidR="003101CC" w:rsidRPr="00575C4B" w:rsidRDefault="00206481" w:rsidP="004F755C">
            <w:pPr>
              <w:pStyle w:val="TableParagraph"/>
              <w:spacing w:before="68"/>
              <w:ind w:left="94"/>
              <w:rPr>
                <w:rFonts w:cs="Times New Roman"/>
                <w:sz w:val="20"/>
                <w:szCs w:val="20"/>
              </w:rPr>
            </w:pPr>
            <w:r w:rsidRPr="00575C4B">
              <w:rPr>
                <w:rFonts w:cs="Times New Roman"/>
                <w:w w:val="105"/>
                <w:sz w:val="20"/>
                <w:szCs w:val="20"/>
              </w:rPr>
              <w:t>N$3 600 plus 5% of the combined</w:t>
            </w:r>
          </w:p>
          <w:p w14:paraId="3DC5CB81" w14:textId="77777777" w:rsidR="003101CC" w:rsidRPr="00575C4B" w:rsidRDefault="00206481" w:rsidP="004F755C">
            <w:pPr>
              <w:pStyle w:val="TableParagraph"/>
              <w:spacing w:before="28"/>
              <w:ind w:left="79"/>
              <w:rPr>
                <w:rFonts w:cs="Times New Roman"/>
                <w:sz w:val="20"/>
                <w:szCs w:val="20"/>
              </w:rPr>
            </w:pPr>
            <w:r w:rsidRPr="00575C4B">
              <w:rPr>
                <w:rFonts w:cs="Times New Roman"/>
                <w:b/>
                <w:w w:val="105"/>
                <w:sz w:val="20"/>
                <w:szCs w:val="20"/>
              </w:rPr>
              <w:t xml:space="preserve">final value </w:t>
            </w:r>
            <w:r w:rsidRPr="00575C4B">
              <w:rPr>
                <w:rFonts w:cs="Times New Roman"/>
                <w:w w:val="105"/>
                <w:sz w:val="20"/>
                <w:szCs w:val="20"/>
              </w:rPr>
              <w:t>of all prototypes</w:t>
            </w:r>
          </w:p>
        </w:tc>
        <w:tc>
          <w:tcPr>
            <w:tcW w:w="2552" w:type="dxa"/>
            <w:tcBorders>
              <w:top w:val="single" w:sz="4" w:space="0" w:color="000000"/>
              <w:left w:val="single" w:sz="4" w:space="0" w:color="000000"/>
            </w:tcBorders>
          </w:tcPr>
          <w:p w14:paraId="681CF199" w14:textId="77777777" w:rsidR="003101CC" w:rsidRPr="00575C4B" w:rsidRDefault="00206481" w:rsidP="004F755C">
            <w:pPr>
              <w:pStyle w:val="TableParagraph"/>
              <w:spacing w:before="58" w:line="259" w:lineRule="auto"/>
              <w:ind w:left="99" w:hanging="6"/>
              <w:rPr>
                <w:rFonts w:cs="Times New Roman"/>
                <w:b/>
                <w:sz w:val="20"/>
                <w:szCs w:val="20"/>
              </w:rPr>
            </w:pPr>
            <w:r w:rsidRPr="00575C4B">
              <w:rPr>
                <w:rFonts w:cs="Times New Roman"/>
                <w:w w:val="105"/>
                <w:sz w:val="20"/>
                <w:szCs w:val="20"/>
              </w:rPr>
              <w:t xml:space="preserve">0,3% of the combined </w:t>
            </w:r>
            <w:r w:rsidRPr="00575C4B">
              <w:rPr>
                <w:rFonts w:cs="Times New Roman"/>
                <w:b/>
                <w:w w:val="105"/>
                <w:sz w:val="20"/>
                <w:szCs w:val="20"/>
              </w:rPr>
              <w:t xml:space="preserve">final value </w:t>
            </w:r>
            <w:r w:rsidRPr="00575C4B">
              <w:rPr>
                <w:rFonts w:cs="Times New Roman"/>
                <w:w w:val="105"/>
                <w:sz w:val="20"/>
                <w:szCs w:val="20"/>
              </w:rPr>
              <w:t xml:space="preserve">of all </w:t>
            </w:r>
            <w:r w:rsidRPr="00575C4B">
              <w:rPr>
                <w:rFonts w:cs="Times New Roman"/>
                <w:b/>
                <w:w w:val="105"/>
                <w:sz w:val="20"/>
                <w:szCs w:val="20"/>
              </w:rPr>
              <w:t>replications</w:t>
            </w:r>
          </w:p>
        </w:tc>
      </w:tr>
    </w:tbl>
    <w:p w14:paraId="33A29584" w14:textId="77777777" w:rsidR="003101CC" w:rsidRDefault="003101CC" w:rsidP="003101CC">
      <w:pPr>
        <w:pStyle w:val="BodyText"/>
        <w:spacing w:before="11"/>
        <w:rPr>
          <w:sz w:val="20"/>
        </w:rPr>
      </w:pPr>
    </w:p>
    <w:p w14:paraId="7F4ECAA8" w14:textId="77777777" w:rsidR="003101CC" w:rsidRPr="00AA2583" w:rsidRDefault="00206481" w:rsidP="00AA2583">
      <w:pPr>
        <w:pStyle w:val="REG-Pa"/>
      </w:pPr>
      <w:r w:rsidRPr="00AA2583">
        <w:t>(b)</w:t>
      </w:r>
      <w:r w:rsidRPr="00AA2583">
        <w:tab/>
        <w:t>For purposes of subparagraph (a), the final value (exclusions mentioned in subparagraph (c) of the definition of "final value of the contract" as set out in paragraph I not applicable) of prototypes and of replications shall include a pro rata proportion of the preliminaries costs.</w:t>
      </w:r>
    </w:p>
    <w:p w14:paraId="0CC189D8" w14:textId="77777777" w:rsidR="003101CC" w:rsidRPr="00575C4B" w:rsidRDefault="003101CC" w:rsidP="00575C4B">
      <w:pPr>
        <w:pStyle w:val="REG-Pa"/>
      </w:pPr>
    </w:p>
    <w:p w14:paraId="77D1CBDA" w14:textId="77777777" w:rsidR="003101CC" w:rsidRPr="00575C4B" w:rsidRDefault="00206481" w:rsidP="00575C4B">
      <w:pPr>
        <w:pStyle w:val="REG-Pa"/>
      </w:pPr>
      <w:r>
        <w:t>(c)</w:t>
      </w:r>
      <w:r>
        <w:tab/>
      </w:r>
      <w:r w:rsidRPr="00575C4B">
        <w:t xml:space="preserve">The </w:t>
      </w:r>
      <w:r w:rsidRPr="00575C4B">
        <w:rPr>
          <w:b/>
        </w:rPr>
        <w:t>fee</w:t>
      </w:r>
      <w:r w:rsidRPr="00575C4B">
        <w:t xml:space="preserve"> for site works and services other than that which is ancillary to building works shall be separately calculated in accordance with the provisions of the tariff of fees.</w:t>
      </w:r>
    </w:p>
    <w:p w14:paraId="468666BA" w14:textId="77777777" w:rsidR="003101CC" w:rsidRPr="00575C4B" w:rsidRDefault="003101CC" w:rsidP="00575C4B">
      <w:pPr>
        <w:pStyle w:val="REG-Pa"/>
      </w:pPr>
    </w:p>
    <w:p w14:paraId="2D1FC337" w14:textId="77777777" w:rsidR="003101CC" w:rsidRPr="00575C4B" w:rsidRDefault="00206481" w:rsidP="00575C4B">
      <w:pPr>
        <w:pStyle w:val="REG-Pa"/>
      </w:pPr>
      <w:r>
        <w:t>(d)</w:t>
      </w:r>
      <w:r>
        <w:tab/>
      </w:r>
      <w:r w:rsidRPr="00575C4B">
        <w:t>A time charge as determined in subparagraph (13) shall be applicable to services rendered in respect of the following -</w:t>
      </w:r>
    </w:p>
    <w:p w14:paraId="3690E00F" w14:textId="77777777" w:rsidR="003101CC" w:rsidRDefault="003101CC" w:rsidP="003101CC">
      <w:pPr>
        <w:pStyle w:val="BodyText"/>
        <w:spacing w:before="9"/>
      </w:pPr>
    </w:p>
    <w:p w14:paraId="6EF07970" w14:textId="77777777" w:rsidR="003101CC" w:rsidRPr="00575C4B" w:rsidRDefault="00206481" w:rsidP="00575C4B">
      <w:pPr>
        <w:pStyle w:val="REG-Pi"/>
      </w:pPr>
      <w:r>
        <w:t>(i)</w:t>
      </w:r>
      <w:r>
        <w:tab/>
      </w:r>
      <w:r w:rsidRPr="00575C4B">
        <w:t>requirements of individual owners or tenants;</w:t>
      </w:r>
    </w:p>
    <w:p w14:paraId="1A6F9D4C" w14:textId="77777777" w:rsidR="003101CC" w:rsidRPr="00575C4B" w:rsidRDefault="003101CC" w:rsidP="00575C4B">
      <w:pPr>
        <w:pStyle w:val="REG-Pi"/>
      </w:pPr>
    </w:p>
    <w:p w14:paraId="46F23DC2" w14:textId="77777777" w:rsidR="003101CC" w:rsidRPr="00575C4B" w:rsidRDefault="00206481" w:rsidP="00575C4B">
      <w:pPr>
        <w:pStyle w:val="REG-Pi"/>
      </w:pPr>
      <w:r>
        <w:t>(ii)</w:t>
      </w:r>
      <w:r>
        <w:tab/>
      </w:r>
      <w:r w:rsidRPr="00575C4B">
        <w:t>preparation of procurement documentation for turnkey projects and the evaluation of same.</w:t>
      </w:r>
    </w:p>
    <w:p w14:paraId="56380A73" w14:textId="77777777" w:rsidR="003101CC" w:rsidRPr="00575C4B" w:rsidRDefault="003101CC" w:rsidP="00575C4B">
      <w:pPr>
        <w:pStyle w:val="REG-Pa"/>
      </w:pPr>
    </w:p>
    <w:p w14:paraId="3EF5C8DA" w14:textId="77777777" w:rsidR="003101CC" w:rsidRPr="00575C4B" w:rsidRDefault="00206481" w:rsidP="00575C4B">
      <w:pPr>
        <w:pStyle w:val="REG-Pa"/>
      </w:pPr>
      <w:r>
        <w:t>(e)</w:t>
      </w:r>
      <w:r>
        <w:tab/>
      </w:r>
      <w:r w:rsidRPr="00575C4B">
        <w:t xml:space="preserve">the </w:t>
      </w:r>
      <w:r w:rsidRPr="00575C4B">
        <w:rPr>
          <w:b/>
        </w:rPr>
        <w:t>fee</w:t>
      </w:r>
      <w:r w:rsidRPr="00575C4B">
        <w:t xml:space="preserve"> in respect of material source handling and control, excluding the cost of the storage infrastructure, security and insurance, shall be as follows:</w:t>
      </w:r>
    </w:p>
    <w:p w14:paraId="5AA61E68" w14:textId="66D58BB8" w:rsidR="003101CC" w:rsidRDefault="003101CC" w:rsidP="003101CC">
      <w:pPr>
        <w:pStyle w:val="REG-P0"/>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0" w:type="dxa"/>
          <w:bottom w:w="57" w:type="dxa"/>
          <w:right w:w="0" w:type="dxa"/>
        </w:tblCellMar>
        <w:tblLook w:val="01E0" w:firstRow="1" w:lastRow="1" w:firstColumn="1" w:lastColumn="1" w:noHBand="0" w:noVBand="0"/>
      </w:tblPr>
      <w:tblGrid>
        <w:gridCol w:w="416"/>
        <w:gridCol w:w="1077"/>
        <w:gridCol w:w="113"/>
        <w:gridCol w:w="337"/>
        <w:gridCol w:w="1166"/>
        <w:gridCol w:w="1269"/>
        <w:gridCol w:w="17"/>
        <w:gridCol w:w="3392"/>
      </w:tblGrid>
      <w:tr w:rsidR="00906517" w14:paraId="623E24AD" w14:textId="77777777" w:rsidTr="00441C1E">
        <w:tc>
          <w:tcPr>
            <w:tcW w:w="3109" w:type="dxa"/>
            <w:gridSpan w:val="5"/>
            <w:vMerge w:val="restart"/>
            <w:tcBorders>
              <w:top w:val="single" w:sz="8" w:space="0" w:color="auto"/>
              <w:left w:val="single" w:sz="8" w:space="0" w:color="auto"/>
              <w:right w:val="single" w:sz="4" w:space="0" w:color="000000"/>
            </w:tcBorders>
            <w:vAlign w:val="center"/>
          </w:tcPr>
          <w:p w14:paraId="25863925" w14:textId="77777777" w:rsidR="008A1A40" w:rsidRPr="00575C4B" w:rsidRDefault="008A1A40" w:rsidP="004F182B">
            <w:pPr>
              <w:pStyle w:val="TableParagraph"/>
              <w:jc w:val="center"/>
              <w:rPr>
                <w:rFonts w:cs="Times New Roman"/>
                <w:sz w:val="20"/>
                <w:szCs w:val="20"/>
              </w:rPr>
            </w:pPr>
            <w:r w:rsidRPr="00575C4B">
              <w:rPr>
                <w:rFonts w:cs="Times New Roman"/>
                <w:w w:val="105"/>
                <w:sz w:val="20"/>
                <w:szCs w:val="20"/>
              </w:rPr>
              <w:t>Value category (exclusions mentioned in subparagraph</w:t>
            </w:r>
          </w:p>
          <w:p w14:paraId="404797E1" w14:textId="693E95A2" w:rsidR="008A1A40" w:rsidRPr="001F1765" w:rsidRDefault="008A1A40" w:rsidP="004F182B">
            <w:pPr>
              <w:pStyle w:val="TableParagraph"/>
              <w:jc w:val="center"/>
              <w:rPr>
                <w:b/>
                <w:w w:val="110"/>
                <w:sz w:val="20"/>
                <w:szCs w:val="20"/>
              </w:rPr>
            </w:pPr>
            <w:r w:rsidRPr="00575C4B">
              <w:rPr>
                <w:rFonts w:cs="Times New Roman"/>
                <w:w w:val="105"/>
                <w:sz w:val="20"/>
                <w:szCs w:val="20"/>
              </w:rPr>
              <w:t xml:space="preserve">(c) of the definition of </w:t>
            </w:r>
            <w:r w:rsidR="00DC4DEA">
              <w:rPr>
                <w:rFonts w:cs="Times New Roman"/>
                <w:w w:val="105"/>
                <w:sz w:val="20"/>
                <w:szCs w:val="20"/>
              </w:rPr>
              <w:t>“</w:t>
            </w:r>
            <w:r w:rsidRPr="00575C4B">
              <w:rPr>
                <w:rFonts w:cs="Times New Roman"/>
                <w:w w:val="105"/>
                <w:sz w:val="20"/>
                <w:szCs w:val="20"/>
              </w:rPr>
              <w:t>final value of the contract</w:t>
            </w:r>
            <w:r w:rsidR="00DC4DEA">
              <w:rPr>
                <w:rFonts w:cs="Times New Roman"/>
                <w:w w:val="105"/>
                <w:sz w:val="20"/>
                <w:szCs w:val="20"/>
              </w:rPr>
              <w:t>”</w:t>
            </w:r>
            <w:r w:rsidRPr="00575C4B">
              <w:rPr>
                <w:rFonts w:cs="Times New Roman"/>
                <w:w w:val="105"/>
                <w:sz w:val="20"/>
                <w:szCs w:val="20"/>
              </w:rPr>
              <w:t xml:space="preserve"> as set</w:t>
            </w:r>
            <w:r w:rsidR="00264EF0">
              <w:rPr>
                <w:rFonts w:cs="Times New Roman"/>
                <w:w w:val="105"/>
                <w:sz w:val="20"/>
                <w:szCs w:val="20"/>
              </w:rPr>
              <w:t xml:space="preserve"> </w:t>
            </w:r>
            <w:r w:rsidRPr="00575C4B">
              <w:rPr>
                <w:rFonts w:cs="Times New Roman"/>
                <w:w w:val="105"/>
                <w:sz w:val="20"/>
                <w:szCs w:val="20"/>
              </w:rPr>
              <w:t>out in paragraph 1 not applicable)</w:t>
            </w:r>
          </w:p>
        </w:tc>
        <w:tc>
          <w:tcPr>
            <w:tcW w:w="4678" w:type="dxa"/>
            <w:gridSpan w:val="3"/>
            <w:tcBorders>
              <w:top w:val="single" w:sz="8" w:space="0" w:color="auto"/>
              <w:left w:val="single" w:sz="4" w:space="0" w:color="000000"/>
              <w:bottom w:val="single" w:sz="4" w:space="0" w:color="000000"/>
              <w:right w:val="single" w:sz="8" w:space="0" w:color="auto"/>
            </w:tcBorders>
            <w:vAlign w:val="center"/>
          </w:tcPr>
          <w:p w14:paraId="159A79C5" w14:textId="77777777" w:rsidR="008A1A40" w:rsidRPr="001F1765" w:rsidRDefault="008A1A40" w:rsidP="004F182B">
            <w:pPr>
              <w:pStyle w:val="REG-P0"/>
              <w:jc w:val="center"/>
              <w:rPr>
                <w:b/>
                <w:sz w:val="20"/>
                <w:szCs w:val="20"/>
              </w:rPr>
            </w:pPr>
            <w:r w:rsidRPr="001F1765">
              <w:rPr>
                <w:b/>
                <w:w w:val="110"/>
                <w:sz w:val="20"/>
                <w:szCs w:val="20"/>
              </w:rPr>
              <w:t>Basic fee</w:t>
            </w:r>
          </w:p>
        </w:tc>
      </w:tr>
      <w:tr w:rsidR="008A1A40" w14:paraId="3747FDE2" w14:textId="77777777" w:rsidTr="00441C1E">
        <w:tc>
          <w:tcPr>
            <w:tcW w:w="3109" w:type="dxa"/>
            <w:gridSpan w:val="5"/>
            <w:vMerge/>
            <w:tcBorders>
              <w:left w:val="single" w:sz="8" w:space="0" w:color="auto"/>
              <w:right w:val="single" w:sz="4" w:space="0" w:color="000000"/>
            </w:tcBorders>
            <w:vAlign w:val="center"/>
          </w:tcPr>
          <w:p w14:paraId="0511DDD6" w14:textId="77777777" w:rsidR="008A1A40" w:rsidRPr="001F1765" w:rsidRDefault="008A1A40" w:rsidP="004F182B">
            <w:pPr>
              <w:pStyle w:val="REG-P0"/>
              <w:jc w:val="center"/>
              <w:rPr>
                <w:w w:val="105"/>
                <w:sz w:val="20"/>
                <w:szCs w:val="20"/>
              </w:rPr>
            </w:pPr>
          </w:p>
        </w:tc>
        <w:tc>
          <w:tcPr>
            <w:tcW w:w="1286" w:type="dxa"/>
            <w:gridSpan w:val="2"/>
            <w:tcBorders>
              <w:top w:val="single" w:sz="4" w:space="0" w:color="000000"/>
              <w:left w:val="single" w:sz="4" w:space="0" w:color="000000"/>
              <w:right w:val="single" w:sz="4" w:space="0" w:color="000000"/>
            </w:tcBorders>
            <w:vAlign w:val="center"/>
          </w:tcPr>
          <w:p w14:paraId="19781E2E" w14:textId="77777777" w:rsidR="008A1A40" w:rsidRDefault="008A1A40" w:rsidP="004F182B">
            <w:pPr>
              <w:pStyle w:val="REG-P0"/>
              <w:jc w:val="center"/>
              <w:rPr>
                <w:w w:val="105"/>
                <w:sz w:val="20"/>
                <w:szCs w:val="20"/>
              </w:rPr>
            </w:pPr>
            <w:r w:rsidRPr="001F1765">
              <w:rPr>
                <w:w w:val="105"/>
                <w:sz w:val="20"/>
                <w:szCs w:val="20"/>
              </w:rPr>
              <w:t>Primary</w:t>
            </w:r>
          </w:p>
          <w:p w14:paraId="302A9078" w14:textId="77777777" w:rsidR="008A1A40" w:rsidRPr="001F1765" w:rsidRDefault="008A1A40" w:rsidP="004F182B">
            <w:pPr>
              <w:pStyle w:val="REG-P0"/>
              <w:jc w:val="center"/>
              <w:rPr>
                <w:sz w:val="20"/>
                <w:szCs w:val="20"/>
              </w:rPr>
            </w:pPr>
            <w:r w:rsidRPr="001F1765">
              <w:rPr>
                <w:w w:val="105"/>
                <w:sz w:val="20"/>
                <w:szCs w:val="20"/>
              </w:rPr>
              <w:t>charge</w:t>
            </w:r>
          </w:p>
        </w:tc>
        <w:tc>
          <w:tcPr>
            <w:tcW w:w="3392" w:type="dxa"/>
            <w:tcBorders>
              <w:top w:val="single" w:sz="4" w:space="0" w:color="000000"/>
              <w:left w:val="single" w:sz="4" w:space="0" w:color="000000"/>
              <w:right w:val="single" w:sz="8" w:space="0" w:color="auto"/>
            </w:tcBorders>
            <w:vAlign w:val="center"/>
          </w:tcPr>
          <w:p w14:paraId="6BF5298D" w14:textId="77777777" w:rsidR="008A1A40" w:rsidRPr="001F1765" w:rsidRDefault="008A1A40" w:rsidP="004F182B">
            <w:pPr>
              <w:pStyle w:val="REG-P0"/>
              <w:jc w:val="center"/>
              <w:rPr>
                <w:sz w:val="20"/>
                <w:szCs w:val="20"/>
              </w:rPr>
            </w:pPr>
            <w:r w:rsidRPr="001F1765">
              <w:rPr>
                <w:w w:val="105"/>
                <w:sz w:val="20"/>
                <w:szCs w:val="20"/>
              </w:rPr>
              <w:t>Marginal rate</w:t>
            </w:r>
          </w:p>
        </w:tc>
      </w:tr>
      <w:tr w:rsidR="008A1A40" w14:paraId="0883D0D4" w14:textId="77777777" w:rsidTr="00441C1E">
        <w:tc>
          <w:tcPr>
            <w:tcW w:w="3109" w:type="dxa"/>
            <w:gridSpan w:val="5"/>
            <w:tcBorders>
              <w:left w:val="single" w:sz="8" w:space="0" w:color="auto"/>
              <w:bottom w:val="single" w:sz="8" w:space="0" w:color="000000"/>
              <w:right w:val="single" w:sz="4" w:space="0" w:color="000000"/>
            </w:tcBorders>
            <w:vAlign w:val="center"/>
          </w:tcPr>
          <w:p w14:paraId="5FE3A416" w14:textId="77777777" w:rsidR="008A1A40" w:rsidRPr="001F1765" w:rsidRDefault="008A1A40" w:rsidP="00384BAB">
            <w:pPr>
              <w:pStyle w:val="REG-P0"/>
              <w:jc w:val="center"/>
              <w:rPr>
                <w:w w:val="104"/>
                <w:sz w:val="20"/>
                <w:szCs w:val="20"/>
              </w:rPr>
            </w:pPr>
            <w:r>
              <w:rPr>
                <w:w w:val="66"/>
                <w:sz w:val="20"/>
                <w:szCs w:val="20"/>
              </w:rPr>
              <w:t>1</w:t>
            </w:r>
          </w:p>
        </w:tc>
        <w:tc>
          <w:tcPr>
            <w:tcW w:w="1286" w:type="dxa"/>
            <w:gridSpan w:val="2"/>
            <w:tcBorders>
              <w:left w:val="single" w:sz="4" w:space="0" w:color="000000"/>
              <w:right w:val="single" w:sz="4" w:space="0" w:color="000000"/>
            </w:tcBorders>
            <w:vAlign w:val="center"/>
          </w:tcPr>
          <w:p w14:paraId="3B1AC9CB" w14:textId="77777777" w:rsidR="008A1A40" w:rsidRPr="001F1765" w:rsidRDefault="008A1A40" w:rsidP="00384BAB">
            <w:pPr>
              <w:pStyle w:val="REG-P0"/>
              <w:jc w:val="center"/>
              <w:rPr>
                <w:sz w:val="20"/>
                <w:szCs w:val="20"/>
              </w:rPr>
            </w:pPr>
            <w:r w:rsidRPr="001F1765">
              <w:rPr>
                <w:w w:val="104"/>
                <w:sz w:val="20"/>
                <w:szCs w:val="20"/>
              </w:rPr>
              <w:t>2</w:t>
            </w:r>
          </w:p>
        </w:tc>
        <w:tc>
          <w:tcPr>
            <w:tcW w:w="3392" w:type="dxa"/>
            <w:tcBorders>
              <w:left w:val="single" w:sz="4" w:space="0" w:color="000000"/>
              <w:right w:val="single" w:sz="8" w:space="0" w:color="auto"/>
            </w:tcBorders>
            <w:vAlign w:val="center"/>
          </w:tcPr>
          <w:p w14:paraId="0DBC3682" w14:textId="77777777" w:rsidR="008A1A40" w:rsidRPr="001F1765" w:rsidRDefault="008A1A40" w:rsidP="00384BAB">
            <w:pPr>
              <w:pStyle w:val="REG-P0"/>
              <w:jc w:val="center"/>
              <w:rPr>
                <w:sz w:val="20"/>
                <w:szCs w:val="20"/>
              </w:rPr>
            </w:pPr>
            <w:r w:rsidRPr="001F1765">
              <w:rPr>
                <w:sz w:val="20"/>
                <w:szCs w:val="20"/>
              </w:rPr>
              <w:t>3</w:t>
            </w:r>
          </w:p>
        </w:tc>
      </w:tr>
      <w:tr w:rsidR="00F869A8" w14:paraId="0B54E34F" w14:textId="77777777" w:rsidTr="00441C1E">
        <w:tc>
          <w:tcPr>
            <w:tcW w:w="416" w:type="dxa"/>
            <w:tcBorders>
              <w:top w:val="nil"/>
              <w:left w:val="single" w:sz="8" w:space="0" w:color="auto"/>
              <w:bottom w:val="nil"/>
              <w:right w:val="nil"/>
            </w:tcBorders>
            <w:tcMar>
              <w:right w:w="0" w:type="dxa"/>
            </w:tcMar>
            <w:vAlign w:val="center"/>
          </w:tcPr>
          <w:p w14:paraId="3827B9A8" w14:textId="77777777" w:rsidR="00F869A8" w:rsidRPr="001F1765" w:rsidRDefault="00F869A8" w:rsidP="00384BAB">
            <w:pPr>
              <w:pStyle w:val="REG-P0"/>
              <w:jc w:val="right"/>
              <w:rPr>
                <w:w w:val="105"/>
                <w:sz w:val="20"/>
                <w:szCs w:val="20"/>
              </w:rPr>
            </w:pPr>
          </w:p>
        </w:tc>
        <w:tc>
          <w:tcPr>
            <w:tcW w:w="1077" w:type="dxa"/>
            <w:tcBorders>
              <w:top w:val="nil"/>
              <w:left w:val="nil"/>
              <w:bottom w:val="nil"/>
              <w:right w:val="nil"/>
            </w:tcBorders>
            <w:tcMar>
              <w:left w:w="0" w:type="dxa"/>
              <w:right w:w="0" w:type="dxa"/>
            </w:tcMar>
            <w:vAlign w:val="center"/>
          </w:tcPr>
          <w:p w14:paraId="670A25B0" w14:textId="1D0F089D" w:rsidR="00F869A8" w:rsidRPr="001F1765" w:rsidRDefault="00F869A8" w:rsidP="00B65A83">
            <w:pPr>
              <w:pStyle w:val="REG-P0"/>
              <w:ind w:right="23"/>
              <w:jc w:val="right"/>
              <w:rPr>
                <w:w w:val="110"/>
                <w:sz w:val="20"/>
                <w:szCs w:val="20"/>
              </w:rPr>
            </w:pPr>
            <w:r>
              <w:rPr>
                <w:w w:val="110"/>
                <w:sz w:val="20"/>
                <w:szCs w:val="20"/>
              </w:rPr>
              <w:t>Up to</w:t>
            </w:r>
          </w:p>
        </w:tc>
        <w:tc>
          <w:tcPr>
            <w:tcW w:w="113" w:type="dxa"/>
            <w:tcBorders>
              <w:top w:val="nil"/>
              <w:left w:val="nil"/>
              <w:bottom w:val="nil"/>
              <w:right w:val="nil"/>
            </w:tcBorders>
            <w:tcMar>
              <w:left w:w="0" w:type="dxa"/>
              <w:right w:w="0" w:type="dxa"/>
            </w:tcMar>
            <w:vAlign w:val="center"/>
          </w:tcPr>
          <w:p w14:paraId="0B54D1F8" w14:textId="52A0F676" w:rsidR="00F869A8" w:rsidRDefault="00F869A8" w:rsidP="006363B5">
            <w:pPr>
              <w:pStyle w:val="REG-P0"/>
              <w:ind w:left="57"/>
              <w:jc w:val="right"/>
              <w:rPr>
                <w:w w:val="105"/>
                <w:position w:val="1"/>
                <w:sz w:val="20"/>
                <w:szCs w:val="20"/>
              </w:rPr>
            </w:pPr>
            <w:r>
              <w:rPr>
                <w:w w:val="105"/>
                <w:position w:val="1"/>
                <w:sz w:val="20"/>
                <w:szCs w:val="20"/>
              </w:rPr>
              <w:t>-</w:t>
            </w:r>
          </w:p>
        </w:tc>
        <w:tc>
          <w:tcPr>
            <w:tcW w:w="337" w:type="dxa"/>
            <w:tcBorders>
              <w:top w:val="nil"/>
              <w:left w:val="nil"/>
              <w:bottom w:val="nil"/>
              <w:right w:val="nil"/>
            </w:tcBorders>
            <w:tcMar>
              <w:left w:w="0" w:type="dxa"/>
              <w:right w:w="0" w:type="dxa"/>
            </w:tcMar>
            <w:vAlign w:val="center"/>
          </w:tcPr>
          <w:p w14:paraId="5007C254" w14:textId="0672DA3A" w:rsidR="00F869A8" w:rsidRPr="001F1765" w:rsidRDefault="00F869A8" w:rsidP="00384BAB">
            <w:pPr>
              <w:pStyle w:val="REG-P0"/>
              <w:jc w:val="right"/>
              <w:rPr>
                <w:w w:val="105"/>
                <w:sz w:val="20"/>
                <w:szCs w:val="20"/>
              </w:rPr>
            </w:pPr>
            <w:r w:rsidRPr="001F1765">
              <w:rPr>
                <w:w w:val="105"/>
                <w:sz w:val="20"/>
                <w:szCs w:val="20"/>
              </w:rPr>
              <w:t>N$</w:t>
            </w:r>
          </w:p>
        </w:tc>
        <w:tc>
          <w:tcPr>
            <w:tcW w:w="1166" w:type="dxa"/>
            <w:tcBorders>
              <w:top w:val="nil"/>
              <w:left w:val="nil"/>
              <w:bottom w:val="nil"/>
              <w:right w:val="single" w:sz="4" w:space="0" w:color="000000"/>
            </w:tcBorders>
            <w:tcMar>
              <w:right w:w="68" w:type="dxa"/>
            </w:tcMar>
            <w:vAlign w:val="center"/>
          </w:tcPr>
          <w:p w14:paraId="54B6E2F0" w14:textId="59CB6E00" w:rsidR="00F869A8" w:rsidRPr="001F1765" w:rsidRDefault="00442320" w:rsidP="00384BAB">
            <w:pPr>
              <w:pStyle w:val="REG-P0"/>
              <w:jc w:val="right"/>
              <w:rPr>
                <w:w w:val="110"/>
                <w:sz w:val="20"/>
                <w:szCs w:val="20"/>
              </w:rPr>
            </w:pPr>
            <w:r>
              <w:rPr>
                <w:w w:val="110"/>
                <w:sz w:val="20"/>
                <w:szCs w:val="20"/>
              </w:rPr>
              <w:t>1</w:t>
            </w:r>
            <w:r w:rsidRPr="001F1765">
              <w:rPr>
                <w:w w:val="110"/>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072CE38A" w14:textId="63C5A84F" w:rsidR="00F869A8" w:rsidRPr="001F1765" w:rsidRDefault="00F869A8" w:rsidP="00384BAB">
            <w:pPr>
              <w:pStyle w:val="REG-P0"/>
              <w:tabs>
                <w:tab w:val="clear" w:pos="567"/>
              </w:tabs>
              <w:jc w:val="right"/>
              <w:rPr>
                <w:w w:val="105"/>
                <w:position w:val="1"/>
                <w:sz w:val="20"/>
                <w:szCs w:val="20"/>
              </w:rPr>
            </w:pPr>
            <w:r w:rsidRPr="001F1765">
              <w:rPr>
                <w:sz w:val="20"/>
                <w:szCs w:val="20"/>
              </w:rPr>
              <w:t>N$</w:t>
            </w:r>
            <w:r w:rsidR="00B602A0">
              <w:rPr>
                <w:w w:val="105"/>
                <w:position w:val="1"/>
                <w:sz w:val="20"/>
                <w:szCs w:val="20"/>
              </w:rPr>
              <w:t xml:space="preserve">    </w:t>
            </w:r>
            <w:r w:rsidR="00B602A0">
              <w:rPr>
                <w:sz w:val="20"/>
                <w:szCs w:val="20"/>
              </w:rPr>
              <w:t>50</w:t>
            </w:r>
            <w:r w:rsidRPr="001F1765">
              <w:rPr>
                <w:spacing w:val="30"/>
                <w:sz w:val="20"/>
                <w:szCs w:val="20"/>
              </w:rPr>
              <w:t xml:space="preserve"> </w:t>
            </w:r>
            <w:r w:rsidR="00B602A0">
              <w:rPr>
                <w:sz w:val="20"/>
                <w:szCs w:val="20"/>
              </w:rPr>
              <w:t>00</w:t>
            </w:r>
            <w:r w:rsidRPr="001F1765">
              <w:rPr>
                <w:sz w:val="20"/>
                <w:szCs w:val="20"/>
              </w:rPr>
              <w:t>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6021CA25" w14:textId="1ADD937A" w:rsidR="00F869A8" w:rsidRPr="001F1765" w:rsidRDefault="00434348" w:rsidP="00FC7CA0">
            <w:pPr>
              <w:pStyle w:val="REG-P0"/>
              <w:tabs>
                <w:tab w:val="clear" w:pos="567"/>
                <w:tab w:val="left" w:pos="643"/>
                <w:tab w:val="left" w:pos="1080"/>
                <w:tab w:val="left" w:pos="1956"/>
                <w:tab w:val="left" w:pos="3050"/>
              </w:tabs>
              <w:rPr>
                <w:sz w:val="20"/>
                <w:szCs w:val="20"/>
              </w:rPr>
            </w:pPr>
            <w:r>
              <w:rPr>
                <w:position w:val="1"/>
                <w:sz w:val="20"/>
                <w:szCs w:val="20"/>
              </w:rPr>
              <w:t>0</w:t>
            </w:r>
            <w:r w:rsidR="00F869A8" w:rsidRPr="001F1765">
              <w:rPr>
                <w:position w:val="1"/>
                <w:sz w:val="20"/>
                <w:szCs w:val="20"/>
              </w:rPr>
              <w:t>,</w:t>
            </w:r>
            <w:r>
              <w:rPr>
                <w:position w:val="1"/>
                <w:sz w:val="20"/>
                <w:szCs w:val="20"/>
              </w:rPr>
              <w:t>0</w:t>
            </w:r>
            <w:r w:rsidR="00F869A8" w:rsidRPr="001F1765">
              <w:rPr>
                <w:position w:val="1"/>
                <w:sz w:val="20"/>
                <w:szCs w:val="20"/>
              </w:rPr>
              <w:t>0%</w:t>
            </w:r>
            <w:r w:rsidR="00F869A8">
              <w:rPr>
                <w:position w:val="1"/>
                <w:sz w:val="20"/>
                <w:szCs w:val="20"/>
              </w:rPr>
              <w:t xml:space="preserve"> </w:t>
            </w:r>
            <w:r w:rsidR="00F869A8" w:rsidRPr="001F1765">
              <w:rPr>
                <w:position w:val="1"/>
                <w:sz w:val="20"/>
                <w:szCs w:val="20"/>
              </w:rPr>
              <w:t>on balance</w:t>
            </w:r>
            <w:r w:rsidR="00F869A8" w:rsidRPr="001F1765">
              <w:rPr>
                <w:spacing w:val="22"/>
                <w:position w:val="1"/>
                <w:sz w:val="20"/>
                <w:szCs w:val="20"/>
              </w:rPr>
              <w:t xml:space="preserve"> </w:t>
            </w:r>
            <w:r w:rsidR="00F869A8" w:rsidRPr="001F1765">
              <w:rPr>
                <w:position w:val="1"/>
                <w:sz w:val="20"/>
                <w:szCs w:val="20"/>
              </w:rPr>
              <w:t>over</w:t>
            </w:r>
            <w:r w:rsidR="00F869A8">
              <w:rPr>
                <w:spacing w:val="6"/>
                <w:position w:val="1"/>
                <w:sz w:val="20"/>
                <w:szCs w:val="20"/>
              </w:rPr>
              <w:tab/>
            </w:r>
            <w:r w:rsidR="00F869A8" w:rsidRPr="001F1765">
              <w:rPr>
                <w:position w:val="1"/>
                <w:sz w:val="20"/>
                <w:szCs w:val="20"/>
              </w:rPr>
              <w:t>N$</w:t>
            </w:r>
            <w:r w:rsidR="00F869A8">
              <w:rPr>
                <w:sz w:val="20"/>
                <w:szCs w:val="20"/>
              </w:rPr>
              <w:t> </w:t>
            </w:r>
            <w:r w:rsidR="00F869A8">
              <w:rPr>
                <w:sz w:val="20"/>
                <w:szCs w:val="20"/>
              </w:rPr>
              <w:tab/>
              <w:t xml:space="preserve"> </w:t>
            </w:r>
            <w:r w:rsidR="00F869A8" w:rsidRPr="001F1765">
              <w:rPr>
                <w:sz w:val="20"/>
                <w:szCs w:val="20"/>
              </w:rPr>
              <w:t>0</w:t>
            </w:r>
          </w:p>
        </w:tc>
      </w:tr>
      <w:tr w:rsidR="00B43CC2" w14:paraId="18E16A4E" w14:textId="77777777" w:rsidTr="00441C1E">
        <w:tc>
          <w:tcPr>
            <w:tcW w:w="416" w:type="dxa"/>
            <w:tcBorders>
              <w:top w:val="nil"/>
              <w:left w:val="single" w:sz="8" w:space="0" w:color="auto"/>
              <w:bottom w:val="nil"/>
              <w:right w:val="nil"/>
            </w:tcBorders>
            <w:tcMar>
              <w:right w:w="0" w:type="dxa"/>
            </w:tcMar>
            <w:vAlign w:val="center"/>
          </w:tcPr>
          <w:p w14:paraId="302FC082" w14:textId="77777777" w:rsidR="008A1A40" w:rsidRPr="001F1765" w:rsidRDefault="008A1A40" w:rsidP="00384BAB">
            <w:pPr>
              <w:pStyle w:val="REG-P0"/>
              <w:jc w:val="right"/>
              <w:rPr>
                <w:sz w:val="20"/>
                <w:szCs w:val="20"/>
              </w:rPr>
            </w:pPr>
            <w:r w:rsidRPr="001F1765">
              <w:rPr>
                <w:w w:val="105"/>
                <w:sz w:val="20"/>
                <w:szCs w:val="20"/>
              </w:rPr>
              <w:t>N$</w:t>
            </w:r>
          </w:p>
        </w:tc>
        <w:tc>
          <w:tcPr>
            <w:tcW w:w="1077" w:type="dxa"/>
            <w:tcBorders>
              <w:top w:val="nil"/>
              <w:left w:val="nil"/>
              <w:bottom w:val="nil"/>
              <w:right w:val="nil"/>
            </w:tcBorders>
            <w:tcMar>
              <w:left w:w="0" w:type="dxa"/>
              <w:right w:w="0" w:type="dxa"/>
            </w:tcMar>
            <w:vAlign w:val="center"/>
          </w:tcPr>
          <w:p w14:paraId="32F916B7" w14:textId="525FD504" w:rsidR="008A1A40" w:rsidRPr="001F1765" w:rsidRDefault="008A1A40" w:rsidP="00B65A83">
            <w:pPr>
              <w:pStyle w:val="REG-P0"/>
              <w:ind w:right="23"/>
              <w:jc w:val="right"/>
              <w:rPr>
                <w:sz w:val="20"/>
                <w:szCs w:val="20"/>
              </w:rPr>
            </w:pPr>
            <w:r w:rsidRPr="001F1765">
              <w:rPr>
                <w:w w:val="110"/>
                <w:sz w:val="20"/>
                <w:szCs w:val="20"/>
              </w:rPr>
              <w:t>1</w:t>
            </w:r>
            <w:r>
              <w:rPr>
                <w:w w:val="110"/>
                <w:sz w:val="20"/>
                <w:szCs w:val="20"/>
              </w:rPr>
              <w:t xml:space="preserve"> </w:t>
            </w:r>
            <w:r w:rsidRPr="001F1765">
              <w:rPr>
                <w:w w:val="110"/>
                <w:sz w:val="20"/>
                <w:szCs w:val="20"/>
              </w:rPr>
              <w:t>000</w:t>
            </w:r>
            <w:r>
              <w:rPr>
                <w:w w:val="110"/>
                <w:sz w:val="20"/>
                <w:szCs w:val="20"/>
              </w:rPr>
              <w:t xml:space="preserve"> </w:t>
            </w:r>
            <w:r w:rsidRPr="001F1765">
              <w:rPr>
                <w:w w:val="110"/>
                <w:sz w:val="20"/>
                <w:szCs w:val="20"/>
              </w:rPr>
              <w:t>000</w:t>
            </w:r>
          </w:p>
        </w:tc>
        <w:tc>
          <w:tcPr>
            <w:tcW w:w="113" w:type="dxa"/>
            <w:tcBorders>
              <w:top w:val="nil"/>
              <w:left w:val="nil"/>
              <w:bottom w:val="nil"/>
              <w:right w:val="nil"/>
            </w:tcBorders>
            <w:tcMar>
              <w:left w:w="0" w:type="dxa"/>
              <w:right w:w="0" w:type="dxa"/>
            </w:tcMar>
            <w:vAlign w:val="center"/>
          </w:tcPr>
          <w:p w14:paraId="18E93C01" w14:textId="77777777" w:rsidR="008A1A40" w:rsidRPr="001F1765" w:rsidRDefault="008A1A40" w:rsidP="006363B5">
            <w:pPr>
              <w:pStyle w:val="REG-P0"/>
              <w:ind w:left="57"/>
              <w:jc w:val="right"/>
              <w:rPr>
                <w:w w:val="105"/>
                <w:position w:val="1"/>
                <w:sz w:val="20"/>
                <w:szCs w:val="20"/>
              </w:rPr>
            </w:pPr>
            <w:r>
              <w:rPr>
                <w:w w:val="105"/>
                <w:position w:val="1"/>
                <w:sz w:val="20"/>
                <w:szCs w:val="20"/>
              </w:rPr>
              <w:t>-</w:t>
            </w:r>
          </w:p>
        </w:tc>
        <w:tc>
          <w:tcPr>
            <w:tcW w:w="337" w:type="dxa"/>
            <w:tcBorders>
              <w:top w:val="nil"/>
              <w:left w:val="nil"/>
              <w:bottom w:val="nil"/>
              <w:right w:val="nil"/>
            </w:tcBorders>
            <w:tcMar>
              <w:left w:w="0" w:type="dxa"/>
              <w:right w:w="0" w:type="dxa"/>
            </w:tcMar>
            <w:vAlign w:val="center"/>
          </w:tcPr>
          <w:p w14:paraId="46AFBDD1" w14:textId="77777777" w:rsidR="008A1A40" w:rsidRPr="001F1765" w:rsidRDefault="008A1A40" w:rsidP="00384BAB">
            <w:pPr>
              <w:pStyle w:val="REG-P0"/>
              <w:jc w:val="right"/>
              <w:rPr>
                <w:w w:val="105"/>
                <w:position w:val="1"/>
                <w:sz w:val="20"/>
                <w:szCs w:val="20"/>
              </w:rPr>
            </w:pPr>
            <w:r w:rsidRPr="001F1765">
              <w:rPr>
                <w:w w:val="105"/>
                <w:sz w:val="20"/>
                <w:szCs w:val="20"/>
              </w:rPr>
              <w:t>N$</w:t>
            </w:r>
          </w:p>
        </w:tc>
        <w:tc>
          <w:tcPr>
            <w:tcW w:w="1166" w:type="dxa"/>
            <w:tcBorders>
              <w:top w:val="nil"/>
              <w:left w:val="nil"/>
              <w:bottom w:val="nil"/>
              <w:right w:val="single" w:sz="4" w:space="0" w:color="000000"/>
            </w:tcBorders>
            <w:tcMar>
              <w:right w:w="68" w:type="dxa"/>
            </w:tcMar>
            <w:vAlign w:val="center"/>
          </w:tcPr>
          <w:p w14:paraId="5F11D164" w14:textId="258D8FC9" w:rsidR="008A1A40" w:rsidRPr="001F1765" w:rsidRDefault="008A1A40" w:rsidP="00384BAB">
            <w:pPr>
              <w:pStyle w:val="REG-P0"/>
              <w:jc w:val="right"/>
              <w:rPr>
                <w:w w:val="105"/>
                <w:position w:val="1"/>
                <w:sz w:val="20"/>
                <w:szCs w:val="20"/>
              </w:rPr>
            </w:pPr>
            <w:r w:rsidRPr="001F1765">
              <w:rPr>
                <w:w w:val="110"/>
                <w:sz w:val="20"/>
                <w:szCs w:val="20"/>
              </w:rPr>
              <w:t>2 000 000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499ADAB2" w14:textId="38B59697" w:rsidR="008A1A40" w:rsidRPr="001F1765" w:rsidRDefault="008A1A40" w:rsidP="00384BAB">
            <w:pPr>
              <w:pStyle w:val="REG-P0"/>
              <w:tabs>
                <w:tab w:val="clear" w:pos="567"/>
              </w:tabs>
              <w:jc w:val="right"/>
              <w:rPr>
                <w:sz w:val="20"/>
                <w:szCs w:val="20"/>
              </w:rPr>
            </w:pPr>
            <w:r w:rsidRPr="001F1765">
              <w:rPr>
                <w:w w:val="105"/>
                <w:position w:val="1"/>
                <w:sz w:val="20"/>
                <w:szCs w:val="20"/>
              </w:rPr>
              <w:t>N$</w:t>
            </w:r>
            <w:r>
              <w:rPr>
                <w:w w:val="105"/>
                <w:position w:val="1"/>
                <w:sz w:val="20"/>
                <w:szCs w:val="20"/>
              </w:rPr>
              <w:t xml:space="preserve">    </w:t>
            </w:r>
            <w:r w:rsidR="00AB704D">
              <w:rPr>
                <w:sz w:val="20"/>
                <w:szCs w:val="20"/>
              </w:rPr>
              <w:t>50</w:t>
            </w:r>
            <w:r w:rsidR="00AB704D" w:rsidRPr="001F1765">
              <w:rPr>
                <w:spacing w:val="30"/>
                <w:sz w:val="20"/>
                <w:szCs w:val="20"/>
              </w:rPr>
              <w:t xml:space="preserve"> </w:t>
            </w:r>
            <w:r w:rsidR="00AB704D">
              <w:rPr>
                <w:sz w:val="20"/>
                <w:szCs w:val="20"/>
              </w:rPr>
              <w:t>00</w:t>
            </w:r>
            <w:r w:rsidR="00AB704D" w:rsidRPr="001F1765">
              <w:rPr>
                <w:sz w:val="20"/>
                <w:szCs w:val="20"/>
              </w:rPr>
              <w:t>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54C4B1AF" w14:textId="3ED424EC" w:rsidR="008A1A40" w:rsidRPr="001F1765" w:rsidRDefault="00CA0B40" w:rsidP="00384BAB">
            <w:pPr>
              <w:pStyle w:val="REG-P0"/>
              <w:tabs>
                <w:tab w:val="clear" w:pos="567"/>
                <w:tab w:val="left" w:pos="643"/>
                <w:tab w:val="left" w:pos="1080"/>
                <w:tab w:val="left" w:pos="1956"/>
                <w:tab w:val="left" w:pos="2013"/>
                <w:tab w:val="left" w:pos="2053"/>
              </w:tabs>
              <w:rPr>
                <w:sz w:val="20"/>
                <w:szCs w:val="20"/>
              </w:rPr>
            </w:pPr>
            <w:r>
              <w:rPr>
                <w:sz w:val="20"/>
                <w:szCs w:val="20"/>
              </w:rPr>
              <w:t>4</w:t>
            </w:r>
            <w:r w:rsidR="008A1A40" w:rsidRPr="001F1765">
              <w:rPr>
                <w:sz w:val="20"/>
                <w:szCs w:val="20"/>
              </w:rPr>
              <w:t>,25%</w:t>
            </w:r>
            <w:r w:rsidR="008A1A40">
              <w:rPr>
                <w:sz w:val="20"/>
                <w:szCs w:val="20"/>
              </w:rPr>
              <w:t xml:space="preserve"> </w:t>
            </w:r>
            <w:r w:rsidR="008A1A40" w:rsidRPr="001F1765">
              <w:rPr>
                <w:sz w:val="20"/>
                <w:szCs w:val="20"/>
              </w:rPr>
              <w:t>on balance</w:t>
            </w:r>
            <w:r w:rsidR="008A1A40" w:rsidRPr="001F1765">
              <w:rPr>
                <w:spacing w:val="29"/>
                <w:sz w:val="20"/>
                <w:szCs w:val="20"/>
              </w:rPr>
              <w:t xml:space="preserve"> </w:t>
            </w:r>
            <w:r w:rsidR="008A1A40" w:rsidRPr="001F1765">
              <w:rPr>
                <w:sz w:val="20"/>
                <w:szCs w:val="20"/>
              </w:rPr>
              <w:t>over</w:t>
            </w:r>
            <w:r w:rsidR="008A1A40">
              <w:rPr>
                <w:sz w:val="20"/>
                <w:szCs w:val="20"/>
              </w:rPr>
              <w:tab/>
            </w:r>
            <w:r w:rsidR="00742DEA" w:rsidRPr="001F1765">
              <w:rPr>
                <w:w w:val="105"/>
                <w:position w:val="1"/>
                <w:sz w:val="20"/>
                <w:szCs w:val="20"/>
              </w:rPr>
              <w:t>N$</w:t>
            </w:r>
            <w:r w:rsidR="00742DEA">
              <w:rPr>
                <w:sz w:val="20"/>
                <w:szCs w:val="20"/>
              </w:rPr>
              <w:t> </w:t>
            </w:r>
            <w:r w:rsidR="00742DEA">
              <w:rPr>
                <w:sz w:val="20"/>
                <w:szCs w:val="20"/>
              </w:rPr>
              <w:t>1</w:t>
            </w:r>
            <w:r w:rsidR="00742DEA" w:rsidRPr="001F1765">
              <w:rPr>
                <w:sz w:val="20"/>
                <w:szCs w:val="20"/>
              </w:rPr>
              <w:t xml:space="preserve"> 000 000</w:t>
            </w:r>
          </w:p>
        </w:tc>
      </w:tr>
      <w:tr w:rsidR="00B43CC2" w14:paraId="27E25467" w14:textId="77777777" w:rsidTr="00441C1E">
        <w:tc>
          <w:tcPr>
            <w:tcW w:w="416" w:type="dxa"/>
            <w:tcBorders>
              <w:top w:val="nil"/>
              <w:left w:val="single" w:sz="8" w:space="0" w:color="auto"/>
              <w:bottom w:val="nil"/>
              <w:right w:val="nil"/>
            </w:tcBorders>
            <w:tcMar>
              <w:right w:w="0" w:type="dxa"/>
            </w:tcMar>
            <w:vAlign w:val="center"/>
          </w:tcPr>
          <w:p w14:paraId="1AB8031C" w14:textId="77777777" w:rsidR="008A1A40" w:rsidRPr="001F1765" w:rsidRDefault="008A1A40" w:rsidP="00384BAB">
            <w:pPr>
              <w:pStyle w:val="REG-P0"/>
              <w:jc w:val="right"/>
              <w:rPr>
                <w:sz w:val="20"/>
                <w:szCs w:val="20"/>
              </w:rPr>
            </w:pPr>
            <w:r w:rsidRPr="001F1765">
              <w:rPr>
                <w:sz w:val="20"/>
                <w:szCs w:val="20"/>
              </w:rPr>
              <w:t>N$</w:t>
            </w:r>
          </w:p>
        </w:tc>
        <w:tc>
          <w:tcPr>
            <w:tcW w:w="1077" w:type="dxa"/>
            <w:tcBorders>
              <w:top w:val="nil"/>
              <w:left w:val="nil"/>
              <w:bottom w:val="nil"/>
              <w:right w:val="nil"/>
            </w:tcBorders>
            <w:tcMar>
              <w:left w:w="0" w:type="dxa"/>
              <w:right w:w="0" w:type="dxa"/>
            </w:tcMar>
            <w:vAlign w:val="center"/>
          </w:tcPr>
          <w:p w14:paraId="205C1BAC" w14:textId="671571C8" w:rsidR="008A1A40" w:rsidRPr="001F1765" w:rsidRDefault="008A1A40" w:rsidP="00B65A83">
            <w:pPr>
              <w:pStyle w:val="REG-P0"/>
              <w:ind w:right="23"/>
              <w:jc w:val="right"/>
              <w:rPr>
                <w:sz w:val="20"/>
                <w:szCs w:val="20"/>
              </w:rPr>
            </w:pPr>
            <w:r w:rsidRPr="001F1765">
              <w:rPr>
                <w:w w:val="105"/>
                <w:sz w:val="20"/>
                <w:szCs w:val="20"/>
              </w:rPr>
              <w:t>2 000 000</w:t>
            </w:r>
          </w:p>
        </w:tc>
        <w:tc>
          <w:tcPr>
            <w:tcW w:w="113" w:type="dxa"/>
            <w:tcBorders>
              <w:top w:val="nil"/>
              <w:left w:val="nil"/>
              <w:bottom w:val="nil"/>
              <w:right w:val="nil"/>
            </w:tcBorders>
            <w:tcMar>
              <w:left w:w="0" w:type="dxa"/>
              <w:right w:w="0" w:type="dxa"/>
            </w:tcMar>
            <w:vAlign w:val="center"/>
          </w:tcPr>
          <w:p w14:paraId="089E4870" w14:textId="77777777" w:rsidR="008A1A40" w:rsidRPr="001F1765" w:rsidRDefault="008A1A40" w:rsidP="006363B5">
            <w:pPr>
              <w:pStyle w:val="REG-P0"/>
              <w:ind w:left="57"/>
              <w:jc w:val="right"/>
              <w:rPr>
                <w:w w:val="105"/>
                <w:sz w:val="20"/>
                <w:szCs w:val="20"/>
              </w:rPr>
            </w:pPr>
            <w:r>
              <w:rPr>
                <w:w w:val="105"/>
                <w:sz w:val="20"/>
                <w:szCs w:val="20"/>
              </w:rPr>
              <w:t>-</w:t>
            </w:r>
          </w:p>
        </w:tc>
        <w:tc>
          <w:tcPr>
            <w:tcW w:w="337" w:type="dxa"/>
            <w:tcBorders>
              <w:top w:val="nil"/>
              <w:left w:val="nil"/>
              <w:bottom w:val="nil"/>
              <w:right w:val="nil"/>
            </w:tcBorders>
            <w:tcMar>
              <w:left w:w="0" w:type="dxa"/>
              <w:right w:w="0" w:type="dxa"/>
            </w:tcMar>
            <w:vAlign w:val="center"/>
          </w:tcPr>
          <w:p w14:paraId="3B4DB7F2" w14:textId="77777777" w:rsidR="008A1A40" w:rsidRPr="001F1765" w:rsidRDefault="008A1A40" w:rsidP="00384BAB">
            <w:pPr>
              <w:pStyle w:val="REG-P0"/>
              <w:jc w:val="right"/>
              <w:rPr>
                <w:w w:val="105"/>
                <w:sz w:val="20"/>
                <w:szCs w:val="20"/>
              </w:rPr>
            </w:pPr>
            <w:r w:rsidRPr="001F1765">
              <w:rPr>
                <w:sz w:val="20"/>
                <w:szCs w:val="20"/>
              </w:rPr>
              <w:t>N$</w:t>
            </w:r>
          </w:p>
        </w:tc>
        <w:tc>
          <w:tcPr>
            <w:tcW w:w="1166" w:type="dxa"/>
            <w:tcBorders>
              <w:top w:val="nil"/>
              <w:left w:val="nil"/>
              <w:bottom w:val="nil"/>
              <w:right w:val="single" w:sz="4" w:space="0" w:color="000000"/>
            </w:tcBorders>
            <w:tcMar>
              <w:right w:w="68" w:type="dxa"/>
            </w:tcMar>
            <w:vAlign w:val="center"/>
          </w:tcPr>
          <w:p w14:paraId="2F968ECA" w14:textId="4DD8AEC0" w:rsidR="008A1A40" w:rsidRPr="001F1765" w:rsidRDefault="008A1A40" w:rsidP="00384BAB">
            <w:pPr>
              <w:pStyle w:val="REG-P0"/>
              <w:jc w:val="right"/>
              <w:rPr>
                <w:w w:val="105"/>
                <w:sz w:val="20"/>
                <w:szCs w:val="20"/>
              </w:rPr>
            </w:pPr>
            <w:r w:rsidRPr="001F1765">
              <w:rPr>
                <w:w w:val="105"/>
                <w:sz w:val="20"/>
                <w:szCs w:val="20"/>
              </w:rPr>
              <w:t>4 000 000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3DF0A6FC" w14:textId="4A50B6BA" w:rsidR="008A1A40" w:rsidRPr="001F1765" w:rsidRDefault="008A1A40" w:rsidP="00384BAB">
            <w:pPr>
              <w:pStyle w:val="REG-P0"/>
              <w:tabs>
                <w:tab w:val="clear" w:pos="567"/>
              </w:tabs>
              <w:jc w:val="right"/>
              <w:rPr>
                <w:sz w:val="20"/>
                <w:szCs w:val="20"/>
              </w:rPr>
            </w:pPr>
            <w:r w:rsidRPr="001F1765">
              <w:rPr>
                <w:w w:val="105"/>
                <w:sz w:val="20"/>
                <w:szCs w:val="20"/>
              </w:rPr>
              <w:t>N$</w:t>
            </w:r>
            <w:r>
              <w:rPr>
                <w:w w:val="105"/>
                <w:sz w:val="20"/>
                <w:szCs w:val="20"/>
              </w:rPr>
              <w:t xml:space="preserve">    </w:t>
            </w:r>
            <w:r w:rsidR="00AB704D">
              <w:rPr>
                <w:w w:val="105"/>
                <w:sz w:val="20"/>
                <w:szCs w:val="20"/>
              </w:rPr>
              <w:t>92</w:t>
            </w:r>
            <w:r w:rsidRPr="001F1765">
              <w:rPr>
                <w:spacing w:val="-3"/>
                <w:w w:val="105"/>
                <w:sz w:val="20"/>
                <w:szCs w:val="20"/>
              </w:rPr>
              <w:t xml:space="preserve"> </w:t>
            </w:r>
            <w:r w:rsidR="00AB704D">
              <w:rPr>
                <w:w w:val="105"/>
                <w:sz w:val="20"/>
                <w:szCs w:val="20"/>
              </w:rPr>
              <w:t>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5442F5F3" w14:textId="321DF38E" w:rsidR="008A1A40" w:rsidRPr="001F1765" w:rsidRDefault="00CA0B40" w:rsidP="00384BAB">
            <w:pPr>
              <w:pStyle w:val="REG-P0"/>
              <w:tabs>
                <w:tab w:val="left" w:pos="1080"/>
                <w:tab w:val="left" w:pos="1956"/>
                <w:tab w:val="left" w:pos="2013"/>
                <w:tab w:val="left" w:pos="2053"/>
              </w:tabs>
              <w:rPr>
                <w:sz w:val="20"/>
                <w:szCs w:val="20"/>
              </w:rPr>
            </w:pPr>
            <w:r>
              <w:rPr>
                <w:w w:val="105"/>
                <w:sz w:val="20"/>
                <w:szCs w:val="20"/>
              </w:rPr>
              <w:t>3</w:t>
            </w:r>
            <w:r w:rsidR="008A1A40" w:rsidRPr="001F1765">
              <w:rPr>
                <w:w w:val="105"/>
                <w:sz w:val="20"/>
                <w:szCs w:val="20"/>
              </w:rPr>
              <w:t>,</w:t>
            </w:r>
            <w:r>
              <w:rPr>
                <w:w w:val="105"/>
                <w:sz w:val="20"/>
                <w:szCs w:val="20"/>
              </w:rPr>
              <w:t>5</w:t>
            </w:r>
            <w:r w:rsidR="008A1A40" w:rsidRPr="001F1765">
              <w:rPr>
                <w:w w:val="105"/>
                <w:sz w:val="20"/>
                <w:szCs w:val="20"/>
              </w:rPr>
              <w:t>0%</w:t>
            </w:r>
            <w:r w:rsidR="008A1A40">
              <w:rPr>
                <w:w w:val="105"/>
                <w:sz w:val="20"/>
                <w:szCs w:val="20"/>
              </w:rPr>
              <w:tab/>
            </w:r>
            <w:r w:rsidR="008A1A40" w:rsidRPr="001F1765">
              <w:rPr>
                <w:w w:val="105"/>
                <w:sz w:val="20"/>
                <w:szCs w:val="20"/>
              </w:rPr>
              <w:t>on balance</w:t>
            </w:r>
            <w:r w:rsidR="008A1A40" w:rsidRPr="001F1765">
              <w:rPr>
                <w:spacing w:val="-16"/>
                <w:w w:val="105"/>
                <w:sz w:val="20"/>
                <w:szCs w:val="20"/>
              </w:rPr>
              <w:t xml:space="preserve"> </w:t>
            </w:r>
            <w:r w:rsidR="008A1A40" w:rsidRPr="001F1765">
              <w:rPr>
                <w:w w:val="105"/>
                <w:sz w:val="20"/>
                <w:szCs w:val="20"/>
              </w:rPr>
              <w:t>over</w:t>
            </w:r>
            <w:r w:rsidR="008A1A40">
              <w:rPr>
                <w:w w:val="105"/>
                <w:sz w:val="20"/>
                <w:szCs w:val="20"/>
              </w:rPr>
              <w:tab/>
            </w:r>
            <w:r w:rsidR="00742DEA" w:rsidRPr="001F1765">
              <w:rPr>
                <w:sz w:val="20"/>
                <w:szCs w:val="20"/>
              </w:rPr>
              <w:t>N$</w:t>
            </w:r>
            <w:r w:rsidR="00742DEA">
              <w:rPr>
                <w:sz w:val="20"/>
                <w:szCs w:val="20"/>
              </w:rPr>
              <w:t> </w:t>
            </w:r>
            <w:r w:rsidR="00742DEA" w:rsidRPr="001F1765">
              <w:rPr>
                <w:sz w:val="20"/>
                <w:szCs w:val="20"/>
              </w:rPr>
              <w:t>2 000 000</w:t>
            </w:r>
          </w:p>
        </w:tc>
      </w:tr>
      <w:tr w:rsidR="00B43CC2" w14:paraId="011EAB0D" w14:textId="77777777" w:rsidTr="00441C1E">
        <w:tc>
          <w:tcPr>
            <w:tcW w:w="416" w:type="dxa"/>
            <w:tcBorders>
              <w:top w:val="nil"/>
              <w:left w:val="single" w:sz="8" w:space="0" w:color="auto"/>
              <w:bottom w:val="nil"/>
              <w:right w:val="nil"/>
            </w:tcBorders>
            <w:tcMar>
              <w:right w:w="0" w:type="dxa"/>
            </w:tcMar>
            <w:vAlign w:val="center"/>
          </w:tcPr>
          <w:p w14:paraId="30CCC730" w14:textId="77777777" w:rsidR="008A1A40" w:rsidRPr="001F1765" w:rsidRDefault="008A1A40" w:rsidP="00384BAB">
            <w:pPr>
              <w:pStyle w:val="REG-P0"/>
              <w:jc w:val="right"/>
              <w:rPr>
                <w:sz w:val="20"/>
                <w:szCs w:val="20"/>
              </w:rPr>
            </w:pPr>
            <w:r w:rsidRPr="001F1765">
              <w:rPr>
                <w:w w:val="110"/>
                <w:sz w:val="20"/>
                <w:szCs w:val="20"/>
              </w:rPr>
              <w:t xml:space="preserve">N$ </w:t>
            </w:r>
          </w:p>
        </w:tc>
        <w:tc>
          <w:tcPr>
            <w:tcW w:w="1077" w:type="dxa"/>
            <w:tcBorders>
              <w:top w:val="nil"/>
              <w:left w:val="nil"/>
              <w:bottom w:val="nil"/>
              <w:right w:val="nil"/>
            </w:tcBorders>
            <w:tcMar>
              <w:left w:w="0" w:type="dxa"/>
              <w:right w:w="0" w:type="dxa"/>
            </w:tcMar>
            <w:vAlign w:val="center"/>
          </w:tcPr>
          <w:p w14:paraId="3B025920" w14:textId="33BDC841" w:rsidR="008A1A40" w:rsidRPr="001F1765" w:rsidRDefault="008A1A40" w:rsidP="00B65A83">
            <w:pPr>
              <w:pStyle w:val="REG-P0"/>
              <w:ind w:right="23"/>
              <w:jc w:val="right"/>
              <w:rPr>
                <w:sz w:val="20"/>
                <w:szCs w:val="20"/>
              </w:rPr>
            </w:pPr>
            <w:r w:rsidRPr="001F1765">
              <w:rPr>
                <w:w w:val="105"/>
                <w:sz w:val="20"/>
                <w:szCs w:val="20"/>
              </w:rPr>
              <w:t>4 000 000</w:t>
            </w:r>
          </w:p>
        </w:tc>
        <w:tc>
          <w:tcPr>
            <w:tcW w:w="113" w:type="dxa"/>
            <w:tcBorders>
              <w:top w:val="nil"/>
              <w:left w:val="nil"/>
              <w:bottom w:val="nil"/>
              <w:right w:val="nil"/>
            </w:tcBorders>
            <w:tcMar>
              <w:left w:w="0" w:type="dxa"/>
              <w:right w:w="0" w:type="dxa"/>
            </w:tcMar>
            <w:vAlign w:val="center"/>
          </w:tcPr>
          <w:p w14:paraId="6421EE8C" w14:textId="77777777" w:rsidR="008A1A40" w:rsidRPr="001F1765" w:rsidRDefault="008A1A40" w:rsidP="006363B5">
            <w:pPr>
              <w:pStyle w:val="REG-P0"/>
              <w:ind w:left="57"/>
              <w:jc w:val="right"/>
              <w:rPr>
                <w:w w:val="105"/>
                <w:position w:val="1"/>
                <w:sz w:val="20"/>
                <w:szCs w:val="20"/>
              </w:rPr>
            </w:pPr>
            <w:r>
              <w:rPr>
                <w:w w:val="105"/>
                <w:position w:val="1"/>
                <w:sz w:val="20"/>
                <w:szCs w:val="20"/>
              </w:rPr>
              <w:t>-</w:t>
            </w:r>
          </w:p>
        </w:tc>
        <w:tc>
          <w:tcPr>
            <w:tcW w:w="337" w:type="dxa"/>
            <w:tcBorders>
              <w:top w:val="nil"/>
              <w:left w:val="nil"/>
              <w:bottom w:val="nil"/>
              <w:right w:val="nil"/>
            </w:tcBorders>
            <w:tcMar>
              <w:left w:w="0" w:type="dxa"/>
              <w:right w:w="0" w:type="dxa"/>
            </w:tcMar>
            <w:vAlign w:val="center"/>
          </w:tcPr>
          <w:p w14:paraId="04C96D78" w14:textId="77777777" w:rsidR="008A1A40" w:rsidRPr="001F1765" w:rsidRDefault="008A1A40" w:rsidP="00384BAB">
            <w:pPr>
              <w:pStyle w:val="REG-P0"/>
              <w:jc w:val="right"/>
              <w:rPr>
                <w:w w:val="105"/>
                <w:position w:val="1"/>
                <w:sz w:val="20"/>
                <w:szCs w:val="20"/>
              </w:rPr>
            </w:pPr>
            <w:r w:rsidRPr="001F1765">
              <w:rPr>
                <w:w w:val="110"/>
                <w:sz w:val="20"/>
                <w:szCs w:val="20"/>
              </w:rPr>
              <w:t>N$</w:t>
            </w:r>
          </w:p>
        </w:tc>
        <w:tc>
          <w:tcPr>
            <w:tcW w:w="1166" w:type="dxa"/>
            <w:tcBorders>
              <w:top w:val="nil"/>
              <w:left w:val="nil"/>
              <w:bottom w:val="nil"/>
              <w:right w:val="single" w:sz="4" w:space="0" w:color="000000"/>
            </w:tcBorders>
            <w:tcMar>
              <w:right w:w="68" w:type="dxa"/>
            </w:tcMar>
            <w:vAlign w:val="center"/>
          </w:tcPr>
          <w:p w14:paraId="3E794AB1" w14:textId="0F592034" w:rsidR="008A1A40" w:rsidRPr="001F1765" w:rsidRDefault="008A1A40" w:rsidP="00384BAB">
            <w:pPr>
              <w:pStyle w:val="REG-P0"/>
              <w:jc w:val="right"/>
              <w:rPr>
                <w:w w:val="105"/>
                <w:position w:val="1"/>
                <w:sz w:val="20"/>
                <w:szCs w:val="20"/>
              </w:rPr>
            </w:pPr>
            <w:r>
              <w:rPr>
                <w:w w:val="110"/>
                <w:sz w:val="20"/>
                <w:szCs w:val="20"/>
              </w:rPr>
              <w:t>8</w:t>
            </w:r>
            <w:r w:rsidRPr="001F1765">
              <w:rPr>
                <w:w w:val="110"/>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4E3347AF" w14:textId="3F0F19DE" w:rsidR="008A1A40" w:rsidRPr="001F1765" w:rsidRDefault="008A1A40" w:rsidP="00384BAB">
            <w:pPr>
              <w:pStyle w:val="REG-P0"/>
              <w:tabs>
                <w:tab w:val="clear" w:pos="567"/>
              </w:tabs>
              <w:jc w:val="right"/>
              <w:rPr>
                <w:sz w:val="20"/>
                <w:szCs w:val="20"/>
              </w:rPr>
            </w:pPr>
            <w:r w:rsidRPr="001F1765">
              <w:rPr>
                <w:w w:val="105"/>
                <w:position w:val="1"/>
                <w:sz w:val="20"/>
                <w:szCs w:val="20"/>
              </w:rPr>
              <w:t>N$</w:t>
            </w:r>
            <w:r>
              <w:rPr>
                <w:w w:val="105"/>
                <w:position w:val="1"/>
                <w:sz w:val="20"/>
                <w:szCs w:val="20"/>
              </w:rPr>
              <w:t xml:space="preserve">  </w:t>
            </w:r>
            <w:r w:rsidR="002A534F" w:rsidRPr="001F1765">
              <w:rPr>
                <w:w w:val="105"/>
                <w:sz w:val="20"/>
                <w:szCs w:val="20"/>
              </w:rPr>
              <w:t>1</w:t>
            </w:r>
            <w:r w:rsidR="002A534F">
              <w:rPr>
                <w:w w:val="105"/>
                <w:sz w:val="20"/>
                <w:szCs w:val="20"/>
              </w:rPr>
              <w:t>62</w:t>
            </w:r>
            <w:r w:rsidR="002A534F" w:rsidRPr="001F1765">
              <w:rPr>
                <w:w w:val="105"/>
                <w:sz w:val="20"/>
                <w:szCs w:val="20"/>
              </w:rPr>
              <w:t xml:space="preserve"> </w:t>
            </w:r>
            <w:r w:rsidR="002A534F">
              <w:rPr>
                <w:w w:val="105"/>
                <w:sz w:val="20"/>
                <w:szCs w:val="20"/>
              </w:rPr>
              <w:t>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2051E72F" w14:textId="4AB88ABE" w:rsidR="008A1A40" w:rsidRPr="001F1765" w:rsidRDefault="00CA0B40" w:rsidP="00384BAB">
            <w:pPr>
              <w:pStyle w:val="REG-P0"/>
              <w:tabs>
                <w:tab w:val="left" w:pos="1080"/>
                <w:tab w:val="left" w:pos="1956"/>
                <w:tab w:val="left" w:pos="2013"/>
                <w:tab w:val="left" w:pos="2053"/>
              </w:tabs>
              <w:rPr>
                <w:sz w:val="20"/>
                <w:szCs w:val="20"/>
              </w:rPr>
            </w:pPr>
            <w:r>
              <w:rPr>
                <w:w w:val="105"/>
                <w:sz w:val="20"/>
                <w:szCs w:val="20"/>
              </w:rPr>
              <w:t>2</w:t>
            </w:r>
            <w:r w:rsidR="008A1A40" w:rsidRPr="001F1765">
              <w:rPr>
                <w:w w:val="105"/>
                <w:sz w:val="20"/>
                <w:szCs w:val="20"/>
              </w:rPr>
              <w:t>,75%</w:t>
            </w:r>
            <w:r w:rsidR="008A1A40">
              <w:rPr>
                <w:w w:val="105"/>
                <w:sz w:val="20"/>
                <w:szCs w:val="20"/>
              </w:rPr>
              <w:tab/>
            </w:r>
            <w:r w:rsidR="008A1A40" w:rsidRPr="001F1765">
              <w:rPr>
                <w:w w:val="105"/>
                <w:sz w:val="20"/>
                <w:szCs w:val="20"/>
              </w:rPr>
              <w:t>on balance over</w:t>
            </w:r>
            <w:r w:rsidR="008A1A40">
              <w:rPr>
                <w:w w:val="105"/>
                <w:sz w:val="20"/>
                <w:szCs w:val="20"/>
              </w:rPr>
              <w:tab/>
            </w:r>
            <w:r w:rsidR="008A1A40" w:rsidRPr="001F1765">
              <w:rPr>
                <w:w w:val="105"/>
                <w:position w:val="1"/>
                <w:sz w:val="20"/>
                <w:szCs w:val="20"/>
              </w:rPr>
              <w:t>N$</w:t>
            </w:r>
            <w:r w:rsidR="008A1A40">
              <w:rPr>
                <w:sz w:val="20"/>
                <w:szCs w:val="20"/>
              </w:rPr>
              <w:t> </w:t>
            </w:r>
            <w:r w:rsidR="00742DEA">
              <w:rPr>
                <w:sz w:val="20"/>
                <w:szCs w:val="20"/>
              </w:rPr>
              <w:t>4</w:t>
            </w:r>
            <w:r w:rsidR="00742DEA" w:rsidRPr="001F1765">
              <w:rPr>
                <w:sz w:val="20"/>
                <w:szCs w:val="20"/>
              </w:rPr>
              <w:t xml:space="preserve"> 000 000</w:t>
            </w:r>
          </w:p>
        </w:tc>
      </w:tr>
      <w:tr w:rsidR="00B43CC2" w14:paraId="5A42A4EA" w14:textId="77777777" w:rsidTr="00441C1E">
        <w:tc>
          <w:tcPr>
            <w:tcW w:w="416" w:type="dxa"/>
            <w:tcBorders>
              <w:top w:val="nil"/>
              <w:left w:val="single" w:sz="8" w:space="0" w:color="auto"/>
              <w:bottom w:val="nil"/>
              <w:right w:val="nil"/>
            </w:tcBorders>
            <w:tcMar>
              <w:right w:w="0" w:type="dxa"/>
            </w:tcMar>
            <w:vAlign w:val="center"/>
          </w:tcPr>
          <w:p w14:paraId="1094D550" w14:textId="77777777" w:rsidR="008A1A40" w:rsidRPr="001F1765" w:rsidRDefault="008A1A40" w:rsidP="00384BAB">
            <w:pPr>
              <w:pStyle w:val="REG-P0"/>
              <w:jc w:val="right"/>
              <w:rPr>
                <w:sz w:val="20"/>
                <w:szCs w:val="20"/>
              </w:rPr>
            </w:pPr>
            <w:r w:rsidRPr="001F1765">
              <w:rPr>
                <w:w w:val="105"/>
                <w:sz w:val="20"/>
                <w:szCs w:val="20"/>
              </w:rPr>
              <w:t xml:space="preserve">N$ </w:t>
            </w:r>
          </w:p>
        </w:tc>
        <w:tc>
          <w:tcPr>
            <w:tcW w:w="1077" w:type="dxa"/>
            <w:tcBorders>
              <w:top w:val="nil"/>
              <w:left w:val="nil"/>
              <w:bottom w:val="nil"/>
              <w:right w:val="nil"/>
            </w:tcBorders>
            <w:tcMar>
              <w:left w:w="0" w:type="dxa"/>
              <w:right w:w="0" w:type="dxa"/>
            </w:tcMar>
            <w:vAlign w:val="center"/>
          </w:tcPr>
          <w:p w14:paraId="38C80B65" w14:textId="3E05DDBD" w:rsidR="008A1A40" w:rsidRPr="001F1765" w:rsidRDefault="008A1A40" w:rsidP="00B65A83">
            <w:pPr>
              <w:pStyle w:val="REG-P0"/>
              <w:ind w:right="23"/>
              <w:jc w:val="right"/>
              <w:rPr>
                <w:sz w:val="20"/>
                <w:szCs w:val="20"/>
              </w:rPr>
            </w:pPr>
            <w:r>
              <w:rPr>
                <w:w w:val="105"/>
                <w:sz w:val="20"/>
                <w:szCs w:val="20"/>
              </w:rPr>
              <w:t>8</w:t>
            </w:r>
            <w:r w:rsidRPr="001F1765">
              <w:rPr>
                <w:w w:val="105"/>
                <w:sz w:val="20"/>
                <w:szCs w:val="20"/>
              </w:rPr>
              <w:t xml:space="preserve"> 000 000</w:t>
            </w:r>
          </w:p>
        </w:tc>
        <w:tc>
          <w:tcPr>
            <w:tcW w:w="113" w:type="dxa"/>
            <w:tcBorders>
              <w:top w:val="nil"/>
              <w:left w:val="nil"/>
              <w:bottom w:val="nil"/>
              <w:right w:val="nil"/>
            </w:tcBorders>
            <w:tcMar>
              <w:left w:w="0" w:type="dxa"/>
              <w:right w:w="0" w:type="dxa"/>
            </w:tcMar>
            <w:vAlign w:val="center"/>
          </w:tcPr>
          <w:p w14:paraId="6D6A02E9" w14:textId="77777777" w:rsidR="008A1A40" w:rsidRPr="001F1765" w:rsidRDefault="008A1A40" w:rsidP="006363B5">
            <w:pPr>
              <w:pStyle w:val="REG-P0"/>
              <w:ind w:left="57"/>
              <w:jc w:val="right"/>
              <w:rPr>
                <w:w w:val="105"/>
                <w:sz w:val="20"/>
                <w:szCs w:val="20"/>
              </w:rPr>
            </w:pPr>
            <w:r>
              <w:rPr>
                <w:w w:val="105"/>
                <w:sz w:val="20"/>
                <w:szCs w:val="20"/>
              </w:rPr>
              <w:t>-</w:t>
            </w:r>
          </w:p>
        </w:tc>
        <w:tc>
          <w:tcPr>
            <w:tcW w:w="337" w:type="dxa"/>
            <w:tcBorders>
              <w:top w:val="nil"/>
              <w:left w:val="nil"/>
              <w:bottom w:val="nil"/>
              <w:right w:val="nil"/>
            </w:tcBorders>
            <w:tcMar>
              <w:left w:w="0" w:type="dxa"/>
              <w:right w:w="0" w:type="dxa"/>
            </w:tcMar>
            <w:vAlign w:val="center"/>
          </w:tcPr>
          <w:p w14:paraId="16FE854E" w14:textId="77777777" w:rsidR="008A1A40" w:rsidRPr="001F1765" w:rsidRDefault="008A1A40" w:rsidP="00384BAB">
            <w:pPr>
              <w:pStyle w:val="REG-P0"/>
              <w:jc w:val="right"/>
              <w:rPr>
                <w:w w:val="105"/>
                <w:sz w:val="20"/>
                <w:szCs w:val="20"/>
              </w:rPr>
            </w:pPr>
            <w:r w:rsidRPr="001F1765">
              <w:rPr>
                <w:w w:val="105"/>
                <w:sz w:val="20"/>
                <w:szCs w:val="20"/>
              </w:rPr>
              <w:t>N$</w:t>
            </w:r>
          </w:p>
        </w:tc>
        <w:tc>
          <w:tcPr>
            <w:tcW w:w="1166" w:type="dxa"/>
            <w:tcBorders>
              <w:top w:val="nil"/>
              <w:left w:val="nil"/>
              <w:bottom w:val="nil"/>
              <w:right w:val="single" w:sz="4" w:space="0" w:color="000000"/>
            </w:tcBorders>
            <w:tcMar>
              <w:right w:w="68" w:type="dxa"/>
            </w:tcMar>
            <w:vAlign w:val="center"/>
          </w:tcPr>
          <w:p w14:paraId="3D4CC11A" w14:textId="5EB3FDD0" w:rsidR="008A1A40" w:rsidRPr="001F1765" w:rsidRDefault="008A1A40" w:rsidP="00384BAB">
            <w:pPr>
              <w:pStyle w:val="REG-P0"/>
              <w:jc w:val="right"/>
              <w:rPr>
                <w:w w:val="105"/>
                <w:sz w:val="20"/>
                <w:szCs w:val="20"/>
              </w:rPr>
            </w:pPr>
            <w:r>
              <w:rPr>
                <w:w w:val="105"/>
                <w:sz w:val="20"/>
                <w:szCs w:val="20"/>
              </w:rPr>
              <w:t>16</w:t>
            </w:r>
            <w:r w:rsidRPr="001F1765">
              <w:rPr>
                <w:w w:val="105"/>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4498CC06" w14:textId="2F4C4AAE" w:rsidR="008A1A40" w:rsidRPr="001F1765" w:rsidRDefault="008A1A40" w:rsidP="00384BAB">
            <w:pPr>
              <w:pStyle w:val="REG-P0"/>
              <w:tabs>
                <w:tab w:val="clear" w:pos="567"/>
              </w:tabs>
              <w:jc w:val="right"/>
              <w:rPr>
                <w:sz w:val="20"/>
                <w:szCs w:val="20"/>
              </w:rPr>
            </w:pPr>
            <w:r w:rsidRPr="001F1765">
              <w:rPr>
                <w:w w:val="105"/>
                <w:sz w:val="20"/>
                <w:szCs w:val="20"/>
              </w:rPr>
              <w:t xml:space="preserve">N$ </w:t>
            </w:r>
            <w:r>
              <w:rPr>
                <w:w w:val="105"/>
                <w:sz w:val="20"/>
                <w:szCs w:val="20"/>
              </w:rPr>
              <w:t xml:space="preserve"> </w:t>
            </w:r>
            <w:r w:rsidR="00986938" w:rsidRPr="00575C4B">
              <w:rPr>
                <w:w w:val="105"/>
                <w:sz w:val="20"/>
                <w:szCs w:val="20"/>
              </w:rPr>
              <w:t>272 500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34D7EA42" w14:textId="753FD009" w:rsidR="008A1A40" w:rsidRPr="001F1765" w:rsidRDefault="00CA0B40" w:rsidP="00384BAB">
            <w:pPr>
              <w:pStyle w:val="REG-P0"/>
              <w:tabs>
                <w:tab w:val="left" w:pos="1080"/>
                <w:tab w:val="left" w:pos="1956"/>
                <w:tab w:val="left" w:pos="2013"/>
                <w:tab w:val="left" w:pos="2053"/>
              </w:tabs>
              <w:rPr>
                <w:sz w:val="20"/>
                <w:szCs w:val="20"/>
              </w:rPr>
            </w:pPr>
            <w:r>
              <w:rPr>
                <w:sz w:val="20"/>
                <w:szCs w:val="20"/>
              </w:rPr>
              <w:t>1</w:t>
            </w:r>
            <w:r w:rsidR="008A1A40" w:rsidRPr="001F1765">
              <w:rPr>
                <w:sz w:val="20"/>
                <w:szCs w:val="20"/>
              </w:rPr>
              <w:t>,</w:t>
            </w:r>
            <w:r>
              <w:rPr>
                <w:sz w:val="20"/>
                <w:szCs w:val="20"/>
              </w:rPr>
              <w:t>75</w:t>
            </w:r>
            <w:r w:rsidR="008A1A40" w:rsidRPr="001F1765">
              <w:rPr>
                <w:sz w:val="20"/>
                <w:szCs w:val="20"/>
              </w:rPr>
              <w:t>%</w:t>
            </w:r>
            <w:r w:rsidR="008A1A40">
              <w:rPr>
                <w:sz w:val="20"/>
                <w:szCs w:val="20"/>
              </w:rPr>
              <w:tab/>
            </w:r>
            <w:r w:rsidR="008A1A40" w:rsidRPr="001F1765">
              <w:rPr>
                <w:sz w:val="20"/>
                <w:szCs w:val="20"/>
              </w:rPr>
              <w:t>on balance over</w:t>
            </w:r>
            <w:r w:rsidR="008A1A40">
              <w:rPr>
                <w:sz w:val="20"/>
                <w:szCs w:val="20"/>
              </w:rPr>
              <w:tab/>
            </w:r>
            <w:r w:rsidR="008A1A40" w:rsidRPr="001F1765">
              <w:rPr>
                <w:sz w:val="20"/>
                <w:szCs w:val="20"/>
              </w:rPr>
              <w:t>N$</w:t>
            </w:r>
            <w:r w:rsidR="008A1A40">
              <w:rPr>
                <w:sz w:val="20"/>
                <w:szCs w:val="20"/>
              </w:rPr>
              <w:t> </w:t>
            </w:r>
            <w:r w:rsidR="00742DEA" w:rsidRPr="001F1765">
              <w:rPr>
                <w:sz w:val="20"/>
                <w:szCs w:val="20"/>
              </w:rPr>
              <w:t>8 000 000</w:t>
            </w:r>
          </w:p>
        </w:tc>
      </w:tr>
      <w:tr w:rsidR="00B43CC2" w14:paraId="58407D72" w14:textId="77777777" w:rsidTr="00441C1E">
        <w:tc>
          <w:tcPr>
            <w:tcW w:w="416" w:type="dxa"/>
            <w:tcBorders>
              <w:top w:val="nil"/>
              <w:left w:val="single" w:sz="8" w:space="0" w:color="auto"/>
              <w:bottom w:val="nil"/>
              <w:right w:val="nil"/>
            </w:tcBorders>
            <w:tcMar>
              <w:right w:w="0" w:type="dxa"/>
            </w:tcMar>
            <w:vAlign w:val="center"/>
          </w:tcPr>
          <w:p w14:paraId="49BD9506" w14:textId="77777777" w:rsidR="008A1A40" w:rsidRPr="001F1765" w:rsidRDefault="008A1A40" w:rsidP="00384BAB">
            <w:pPr>
              <w:pStyle w:val="REG-P0"/>
              <w:jc w:val="right"/>
              <w:rPr>
                <w:sz w:val="20"/>
                <w:szCs w:val="20"/>
              </w:rPr>
            </w:pPr>
            <w:r w:rsidRPr="001F1765">
              <w:rPr>
                <w:w w:val="105"/>
                <w:sz w:val="20"/>
                <w:szCs w:val="20"/>
              </w:rPr>
              <w:t xml:space="preserve">N$ </w:t>
            </w:r>
          </w:p>
        </w:tc>
        <w:tc>
          <w:tcPr>
            <w:tcW w:w="1077" w:type="dxa"/>
            <w:tcBorders>
              <w:top w:val="nil"/>
              <w:left w:val="nil"/>
              <w:bottom w:val="nil"/>
              <w:right w:val="nil"/>
            </w:tcBorders>
            <w:tcMar>
              <w:left w:w="0" w:type="dxa"/>
              <w:right w:w="0" w:type="dxa"/>
            </w:tcMar>
            <w:vAlign w:val="center"/>
          </w:tcPr>
          <w:p w14:paraId="090AF63A" w14:textId="47AA8E56" w:rsidR="008A1A40" w:rsidRPr="001F1765" w:rsidRDefault="008A1A40" w:rsidP="00B65A83">
            <w:pPr>
              <w:pStyle w:val="REG-P0"/>
              <w:ind w:right="23"/>
              <w:jc w:val="right"/>
              <w:rPr>
                <w:sz w:val="20"/>
                <w:szCs w:val="20"/>
              </w:rPr>
            </w:pPr>
            <w:r>
              <w:rPr>
                <w:w w:val="105"/>
                <w:sz w:val="20"/>
                <w:szCs w:val="20"/>
              </w:rPr>
              <w:t>16</w:t>
            </w:r>
            <w:r w:rsidRPr="001F1765">
              <w:rPr>
                <w:w w:val="105"/>
                <w:sz w:val="20"/>
                <w:szCs w:val="20"/>
              </w:rPr>
              <w:t xml:space="preserve"> 000 000</w:t>
            </w:r>
          </w:p>
        </w:tc>
        <w:tc>
          <w:tcPr>
            <w:tcW w:w="113" w:type="dxa"/>
            <w:tcBorders>
              <w:top w:val="nil"/>
              <w:left w:val="nil"/>
              <w:bottom w:val="nil"/>
              <w:right w:val="nil"/>
            </w:tcBorders>
            <w:tcMar>
              <w:left w:w="0" w:type="dxa"/>
              <w:right w:w="0" w:type="dxa"/>
            </w:tcMar>
            <w:vAlign w:val="center"/>
          </w:tcPr>
          <w:p w14:paraId="0494C9E5" w14:textId="77777777" w:rsidR="008A1A40" w:rsidRPr="001F1765" w:rsidRDefault="008A1A40" w:rsidP="006363B5">
            <w:pPr>
              <w:pStyle w:val="REG-P0"/>
              <w:ind w:left="57"/>
              <w:jc w:val="right"/>
              <w:rPr>
                <w:w w:val="105"/>
                <w:sz w:val="20"/>
                <w:szCs w:val="20"/>
              </w:rPr>
            </w:pPr>
            <w:r>
              <w:rPr>
                <w:w w:val="105"/>
                <w:sz w:val="20"/>
                <w:szCs w:val="20"/>
              </w:rPr>
              <w:t>-</w:t>
            </w:r>
          </w:p>
        </w:tc>
        <w:tc>
          <w:tcPr>
            <w:tcW w:w="337" w:type="dxa"/>
            <w:tcBorders>
              <w:top w:val="nil"/>
              <w:left w:val="nil"/>
              <w:bottom w:val="nil"/>
              <w:right w:val="nil"/>
            </w:tcBorders>
            <w:tcMar>
              <w:left w:w="0" w:type="dxa"/>
              <w:right w:w="0" w:type="dxa"/>
            </w:tcMar>
            <w:vAlign w:val="center"/>
          </w:tcPr>
          <w:p w14:paraId="5B11F9DB" w14:textId="77777777" w:rsidR="008A1A40" w:rsidRPr="001F1765" w:rsidRDefault="008A1A40" w:rsidP="00384BAB">
            <w:pPr>
              <w:pStyle w:val="REG-P0"/>
              <w:jc w:val="right"/>
              <w:rPr>
                <w:w w:val="105"/>
                <w:sz w:val="20"/>
                <w:szCs w:val="20"/>
              </w:rPr>
            </w:pPr>
            <w:r w:rsidRPr="001F1765">
              <w:rPr>
                <w:w w:val="105"/>
                <w:sz w:val="20"/>
                <w:szCs w:val="20"/>
              </w:rPr>
              <w:t>N$</w:t>
            </w:r>
          </w:p>
        </w:tc>
        <w:tc>
          <w:tcPr>
            <w:tcW w:w="1166" w:type="dxa"/>
            <w:tcBorders>
              <w:top w:val="nil"/>
              <w:left w:val="nil"/>
              <w:bottom w:val="nil"/>
              <w:right w:val="single" w:sz="4" w:space="0" w:color="000000"/>
            </w:tcBorders>
            <w:tcMar>
              <w:right w:w="68" w:type="dxa"/>
            </w:tcMar>
            <w:vAlign w:val="center"/>
          </w:tcPr>
          <w:p w14:paraId="5BAB3214" w14:textId="712F1953" w:rsidR="008A1A40" w:rsidRPr="001F1765" w:rsidRDefault="008A1A40" w:rsidP="00384BAB">
            <w:pPr>
              <w:pStyle w:val="REG-P0"/>
              <w:jc w:val="right"/>
              <w:rPr>
                <w:w w:val="105"/>
                <w:sz w:val="20"/>
                <w:szCs w:val="20"/>
              </w:rPr>
            </w:pPr>
            <w:r>
              <w:rPr>
                <w:w w:val="105"/>
                <w:sz w:val="20"/>
                <w:szCs w:val="20"/>
              </w:rPr>
              <w:t>32</w:t>
            </w:r>
            <w:r w:rsidRPr="001F1765">
              <w:rPr>
                <w:w w:val="105"/>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51AD1C34" w14:textId="02DF4245" w:rsidR="008A1A40" w:rsidRPr="001F1765" w:rsidRDefault="008A1A40" w:rsidP="00384BAB">
            <w:pPr>
              <w:pStyle w:val="REG-P0"/>
              <w:tabs>
                <w:tab w:val="clear" w:pos="567"/>
              </w:tabs>
              <w:jc w:val="right"/>
              <w:rPr>
                <w:sz w:val="20"/>
                <w:szCs w:val="20"/>
              </w:rPr>
            </w:pPr>
            <w:r w:rsidRPr="001F1765">
              <w:rPr>
                <w:w w:val="105"/>
                <w:sz w:val="20"/>
                <w:szCs w:val="20"/>
              </w:rPr>
              <w:t xml:space="preserve">N$ </w:t>
            </w:r>
            <w:r>
              <w:rPr>
                <w:w w:val="105"/>
                <w:sz w:val="20"/>
                <w:szCs w:val="20"/>
              </w:rPr>
              <w:t xml:space="preserve"> </w:t>
            </w:r>
            <w:r w:rsidR="00986938" w:rsidRPr="00575C4B">
              <w:rPr>
                <w:w w:val="105"/>
                <w:sz w:val="20"/>
                <w:szCs w:val="20"/>
              </w:rPr>
              <w:t>412 500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791FE927" w14:textId="105AB177" w:rsidR="008A1A40" w:rsidRPr="001F1765" w:rsidRDefault="00CA0B40" w:rsidP="00384BAB">
            <w:pPr>
              <w:pStyle w:val="REG-P0"/>
              <w:tabs>
                <w:tab w:val="left" w:pos="1080"/>
                <w:tab w:val="left" w:pos="1956"/>
                <w:tab w:val="left" w:pos="2013"/>
                <w:tab w:val="left" w:pos="2053"/>
              </w:tabs>
              <w:rPr>
                <w:sz w:val="20"/>
                <w:szCs w:val="20"/>
              </w:rPr>
            </w:pPr>
            <w:r>
              <w:rPr>
                <w:w w:val="105"/>
                <w:sz w:val="20"/>
                <w:szCs w:val="20"/>
              </w:rPr>
              <w:t>1</w:t>
            </w:r>
            <w:r w:rsidR="008A1A40" w:rsidRPr="001F1765">
              <w:rPr>
                <w:w w:val="105"/>
                <w:sz w:val="20"/>
                <w:szCs w:val="20"/>
              </w:rPr>
              <w:t>,</w:t>
            </w:r>
            <w:r>
              <w:rPr>
                <w:w w:val="105"/>
                <w:sz w:val="20"/>
                <w:szCs w:val="20"/>
              </w:rPr>
              <w:t>1</w:t>
            </w:r>
            <w:r w:rsidR="008A1A40" w:rsidRPr="001F1765">
              <w:rPr>
                <w:w w:val="105"/>
                <w:sz w:val="20"/>
                <w:szCs w:val="20"/>
              </w:rPr>
              <w:t>0%</w:t>
            </w:r>
            <w:r w:rsidR="008A1A40">
              <w:rPr>
                <w:w w:val="105"/>
                <w:sz w:val="20"/>
                <w:szCs w:val="20"/>
              </w:rPr>
              <w:tab/>
            </w:r>
            <w:r w:rsidR="008A1A40" w:rsidRPr="001F1765">
              <w:rPr>
                <w:w w:val="105"/>
                <w:sz w:val="20"/>
                <w:szCs w:val="20"/>
              </w:rPr>
              <w:t>on balance over</w:t>
            </w:r>
            <w:r w:rsidR="008A1A40">
              <w:rPr>
                <w:w w:val="105"/>
                <w:sz w:val="20"/>
                <w:szCs w:val="20"/>
              </w:rPr>
              <w:tab/>
            </w:r>
            <w:r w:rsidR="008A1A40" w:rsidRPr="001F1765">
              <w:rPr>
                <w:w w:val="105"/>
                <w:sz w:val="20"/>
                <w:szCs w:val="20"/>
              </w:rPr>
              <w:t>N$</w:t>
            </w:r>
            <w:r w:rsidR="00742DEA">
              <w:rPr>
                <w:sz w:val="20"/>
                <w:szCs w:val="20"/>
              </w:rPr>
              <w:t> </w:t>
            </w:r>
            <w:r w:rsidR="00742DEA" w:rsidRPr="001F1765">
              <w:rPr>
                <w:sz w:val="20"/>
                <w:szCs w:val="20"/>
              </w:rPr>
              <w:t>16 000 000</w:t>
            </w:r>
          </w:p>
        </w:tc>
      </w:tr>
      <w:tr w:rsidR="00B43CC2" w14:paraId="07C5AAF9" w14:textId="77777777" w:rsidTr="00441C1E">
        <w:tc>
          <w:tcPr>
            <w:tcW w:w="416" w:type="dxa"/>
            <w:tcBorders>
              <w:top w:val="nil"/>
              <w:left w:val="single" w:sz="8" w:space="0" w:color="auto"/>
              <w:bottom w:val="nil"/>
              <w:right w:val="nil"/>
            </w:tcBorders>
            <w:tcMar>
              <w:right w:w="0" w:type="dxa"/>
            </w:tcMar>
            <w:vAlign w:val="center"/>
          </w:tcPr>
          <w:p w14:paraId="3D19570E" w14:textId="77777777" w:rsidR="008A1A40" w:rsidRPr="001F1765" w:rsidRDefault="008A1A40" w:rsidP="00384BAB">
            <w:pPr>
              <w:pStyle w:val="REG-P0"/>
              <w:jc w:val="right"/>
              <w:rPr>
                <w:sz w:val="20"/>
                <w:szCs w:val="20"/>
              </w:rPr>
            </w:pPr>
            <w:r w:rsidRPr="001F1765">
              <w:rPr>
                <w:w w:val="105"/>
                <w:sz w:val="20"/>
                <w:szCs w:val="20"/>
              </w:rPr>
              <w:t xml:space="preserve">N$ </w:t>
            </w:r>
          </w:p>
        </w:tc>
        <w:tc>
          <w:tcPr>
            <w:tcW w:w="1077" w:type="dxa"/>
            <w:tcBorders>
              <w:top w:val="nil"/>
              <w:left w:val="nil"/>
              <w:bottom w:val="nil"/>
              <w:right w:val="nil"/>
            </w:tcBorders>
            <w:tcMar>
              <w:left w:w="0" w:type="dxa"/>
              <w:right w:w="0" w:type="dxa"/>
            </w:tcMar>
            <w:vAlign w:val="center"/>
          </w:tcPr>
          <w:p w14:paraId="102D895C" w14:textId="01081BB3" w:rsidR="008A1A40" w:rsidRPr="001F1765" w:rsidRDefault="008A1A40" w:rsidP="00B65A83">
            <w:pPr>
              <w:pStyle w:val="REG-P0"/>
              <w:ind w:right="23"/>
              <w:jc w:val="right"/>
              <w:rPr>
                <w:sz w:val="20"/>
                <w:szCs w:val="20"/>
              </w:rPr>
            </w:pPr>
            <w:r>
              <w:rPr>
                <w:w w:val="105"/>
                <w:sz w:val="20"/>
                <w:szCs w:val="20"/>
              </w:rPr>
              <w:t>32</w:t>
            </w:r>
            <w:r w:rsidRPr="001F1765">
              <w:rPr>
                <w:w w:val="105"/>
                <w:sz w:val="20"/>
                <w:szCs w:val="20"/>
              </w:rPr>
              <w:t xml:space="preserve"> 000 000</w:t>
            </w:r>
          </w:p>
        </w:tc>
        <w:tc>
          <w:tcPr>
            <w:tcW w:w="113" w:type="dxa"/>
            <w:tcBorders>
              <w:top w:val="nil"/>
              <w:left w:val="nil"/>
              <w:bottom w:val="nil"/>
              <w:right w:val="nil"/>
            </w:tcBorders>
            <w:tcMar>
              <w:left w:w="0" w:type="dxa"/>
              <w:right w:w="0" w:type="dxa"/>
            </w:tcMar>
            <w:vAlign w:val="center"/>
          </w:tcPr>
          <w:p w14:paraId="3DFB36A9" w14:textId="77777777" w:rsidR="008A1A40" w:rsidRPr="001F1765" w:rsidRDefault="008A1A40" w:rsidP="006363B5">
            <w:pPr>
              <w:pStyle w:val="REG-P0"/>
              <w:ind w:left="57"/>
              <w:jc w:val="right"/>
              <w:rPr>
                <w:w w:val="105"/>
                <w:sz w:val="20"/>
                <w:szCs w:val="20"/>
              </w:rPr>
            </w:pPr>
            <w:r>
              <w:rPr>
                <w:w w:val="105"/>
                <w:sz w:val="20"/>
                <w:szCs w:val="20"/>
              </w:rPr>
              <w:t>-</w:t>
            </w:r>
          </w:p>
        </w:tc>
        <w:tc>
          <w:tcPr>
            <w:tcW w:w="337" w:type="dxa"/>
            <w:tcBorders>
              <w:top w:val="nil"/>
              <w:left w:val="nil"/>
              <w:bottom w:val="nil"/>
              <w:right w:val="nil"/>
            </w:tcBorders>
            <w:tcMar>
              <w:left w:w="0" w:type="dxa"/>
              <w:right w:w="0" w:type="dxa"/>
            </w:tcMar>
            <w:vAlign w:val="center"/>
          </w:tcPr>
          <w:p w14:paraId="696CB9A0" w14:textId="77777777" w:rsidR="008A1A40" w:rsidRPr="001F1765" w:rsidRDefault="008A1A40" w:rsidP="00384BAB">
            <w:pPr>
              <w:pStyle w:val="REG-P0"/>
              <w:jc w:val="right"/>
              <w:rPr>
                <w:w w:val="105"/>
                <w:sz w:val="20"/>
                <w:szCs w:val="20"/>
              </w:rPr>
            </w:pPr>
            <w:r w:rsidRPr="001F1765">
              <w:rPr>
                <w:w w:val="105"/>
                <w:sz w:val="20"/>
                <w:szCs w:val="20"/>
              </w:rPr>
              <w:t>N$</w:t>
            </w:r>
          </w:p>
        </w:tc>
        <w:tc>
          <w:tcPr>
            <w:tcW w:w="1166" w:type="dxa"/>
            <w:tcBorders>
              <w:top w:val="nil"/>
              <w:left w:val="nil"/>
              <w:bottom w:val="nil"/>
              <w:right w:val="single" w:sz="4" w:space="0" w:color="000000"/>
            </w:tcBorders>
            <w:tcMar>
              <w:right w:w="68" w:type="dxa"/>
            </w:tcMar>
            <w:vAlign w:val="center"/>
          </w:tcPr>
          <w:p w14:paraId="0B1A0CDD" w14:textId="7A900809" w:rsidR="008A1A40" w:rsidRPr="001F1765" w:rsidRDefault="008A1A40" w:rsidP="00384BAB">
            <w:pPr>
              <w:pStyle w:val="REG-P0"/>
              <w:jc w:val="right"/>
              <w:rPr>
                <w:w w:val="105"/>
                <w:sz w:val="20"/>
                <w:szCs w:val="20"/>
              </w:rPr>
            </w:pPr>
            <w:r>
              <w:rPr>
                <w:w w:val="105"/>
                <w:sz w:val="20"/>
                <w:szCs w:val="20"/>
              </w:rPr>
              <w:t>64</w:t>
            </w:r>
            <w:r w:rsidRPr="001F1765">
              <w:rPr>
                <w:w w:val="105"/>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016C36AE" w14:textId="3603669D" w:rsidR="008A1A40" w:rsidRPr="001F1765" w:rsidRDefault="008A1A40" w:rsidP="00384BAB">
            <w:pPr>
              <w:pStyle w:val="REG-P0"/>
              <w:tabs>
                <w:tab w:val="clear" w:pos="567"/>
              </w:tabs>
              <w:jc w:val="right"/>
              <w:rPr>
                <w:sz w:val="20"/>
                <w:szCs w:val="20"/>
              </w:rPr>
            </w:pPr>
            <w:r w:rsidRPr="001F1765">
              <w:rPr>
                <w:w w:val="105"/>
                <w:sz w:val="20"/>
                <w:szCs w:val="20"/>
              </w:rPr>
              <w:t xml:space="preserve">N$ </w:t>
            </w:r>
            <w:r>
              <w:rPr>
                <w:w w:val="105"/>
                <w:sz w:val="20"/>
                <w:szCs w:val="20"/>
              </w:rPr>
              <w:t xml:space="preserve"> </w:t>
            </w:r>
            <w:r w:rsidR="00986938" w:rsidRPr="00575C4B">
              <w:rPr>
                <w:w w:val="105"/>
                <w:sz w:val="20"/>
                <w:szCs w:val="20"/>
              </w:rPr>
              <w:t>588 500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2F7A7420" w14:textId="3DD5F4F2" w:rsidR="008A1A40" w:rsidRPr="001F1765" w:rsidRDefault="00CA0B40" w:rsidP="00384BAB">
            <w:pPr>
              <w:pStyle w:val="REG-P0"/>
              <w:tabs>
                <w:tab w:val="left" w:pos="1080"/>
                <w:tab w:val="left" w:pos="1956"/>
                <w:tab w:val="left" w:pos="2013"/>
                <w:tab w:val="left" w:pos="2053"/>
              </w:tabs>
              <w:rPr>
                <w:sz w:val="20"/>
                <w:szCs w:val="20"/>
              </w:rPr>
            </w:pPr>
            <w:r>
              <w:rPr>
                <w:sz w:val="20"/>
                <w:szCs w:val="20"/>
              </w:rPr>
              <w:t>0</w:t>
            </w:r>
            <w:r w:rsidR="008A1A40" w:rsidRPr="001F1765">
              <w:rPr>
                <w:sz w:val="20"/>
                <w:szCs w:val="20"/>
              </w:rPr>
              <w:t>,</w:t>
            </w:r>
            <w:r>
              <w:rPr>
                <w:sz w:val="20"/>
                <w:szCs w:val="20"/>
              </w:rPr>
              <w:t>9</w:t>
            </w:r>
            <w:r w:rsidR="008A1A40" w:rsidRPr="001F1765">
              <w:rPr>
                <w:sz w:val="20"/>
                <w:szCs w:val="20"/>
              </w:rPr>
              <w:t>0%</w:t>
            </w:r>
            <w:r w:rsidR="008A1A40">
              <w:rPr>
                <w:sz w:val="20"/>
                <w:szCs w:val="20"/>
              </w:rPr>
              <w:tab/>
            </w:r>
            <w:r w:rsidR="008A1A40" w:rsidRPr="001F1765">
              <w:rPr>
                <w:sz w:val="20"/>
                <w:szCs w:val="20"/>
              </w:rPr>
              <w:t>on balance over</w:t>
            </w:r>
            <w:r w:rsidR="008A1A40">
              <w:rPr>
                <w:sz w:val="20"/>
                <w:szCs w:val="20"/>
              </w:rPr>
              <w:tab/>
            </w:r>
            <w:r w:rsidR="008A1A40" w:rsidRPr="001F1765">
              <w:rPr>
                <w:sz w:val="20"/>
                <w:szCs w:val="20"/>
              </w:rPr>
              <w:t>N$</w:t>
            </w:r>
            <w:r w:rsidR="00742DEA">
              <w:rPr>
                <w:sz w:val="20"/>
                <w:szCs w:val="20"/>
              </w:rPr>
              <w:t> </w:t>
            </w:r>
            <w:r w:rsidR="00742DEA" w:rsidRPr="001F1765">
              <w:rPr>
                <w:sz w:val="20"/>
                <w:szCs w:val="20"/>
              </w:rPr>
              <w:t>32 000 000</w:t>
            </w:r>
          </w:p>
        </w:tc>
      </w:tr>
      <w:tr w:rsidR="00B43CC2" w14:paraId="08CB96CB" w14:textId="77777777" w:rsidTr="00441C1E">
        <w:tc>
          <w:tcPr>
            <w:tcW w:w="416" w:type="dxa"/>
            <w:tcBorders>
              <w:top w:val="nil"/>
              <w:left w:val="single" w:sz="8" w:space="0" w:color="auto"/>
              <w:bottom w:val="nil"/>
              <w:right w:val="nil"/>
            </w:tcBorders>
            <w:tcMar>
              <w:right w:w="0" w:type="dxa"/>
            </w:tcMar>
            <w:vAlign w:val="center"/>
          </w:tcPr>
          <w:p w14:paraId="453CCC0A" w14:textId="77777777" w:rsidR="008A1A40" w:rsidRPr="001F1765" w:rsidRDefault="008A1A40" w:rsidP="00384BAB">
            <w:pPr>
              <w:pStyle w:val="REG-P0"/>
              <w:jc w:val="right"/>
              <w:rPr>
                <w:sz w:val="20"/>
                <w:szCs w:val="20"/>
              </w:rPr>
            </w:pPr>
            <w:r w:rsidRPr="001F1765">
              <w:rPr>
                <w:sz w:val="20"/>
                <w:szCs w:val="20"/>
              </w:rPr>
              <w:t xml:space="preserve">N$ </w:t>
            </w:r>
          </w:p>
        </w:tc>
        <w:tc>
          <w:tcPr>
            <w:tcW w:w="1077" w:type="dxa"/>
            <w:tcBorders>
              <w:top w:val="nil"/>
              <w:left w:val="nil"/>
              <w:bottom w:val="nil"/>
              <w:right w:val="nil"/>
            </w:tcBorders>
            <w:tcMar>
              <w:left w:w="0" w:type="dxa"/>
              <w:right w:w="0" w:type="dxa"/>
            </w:tcMar>
            <w:vAlign w:val="center"/>
          </w:tcPr>
          <w:p w14:paraId="486C78F5" w14:textId="66ADCA53" w:rsidR="008A1A40" w:rsidRPr="001F1765" w:rsidRDefault="008A1A40" w:rsidP="00B65A83">
            <w:pPr>
              <w:pStyle w:val="REG-P0"/>
              <w:ind w:right="23"/>
              <w:jc w:val="right"/>
              <w:rPr>
                <w:sz w:val="20"/>
                <w:szCs w:val="20"/>
              </w:rPr>
            </w:pPr>
            <w:r>
              <w:rPr>
                <w:sz w:val="20"/>
                <w:szCs w:val="20"/>
              </w:rPr>
              <w:t>64</w:t>
            </w:r>
            <w:r w:rsidRPr="001F1765">
              <w:rPr>
                <w:sz w:val="20"/>
                <w:szCs w:val="20"/>
              </w:rPr>
              <w:t xml:space="preserve"> 000 000</w:t>
            </w:r>
          </w:p>
        </w:tc>
        <w:tc>
          <w:tcPr>
            <w:tcW w:w="113" w:type="dxa"/>
            <w:tcBorders>
              <w:top w:val="nil"/>
              <w:left w:val="nil"/>
              <w:bottom w:val="nil"/>
              <w:right w:val="nil"/>
            </w:tcBorders>
            <w:tcMar>
              <w:left w:w="0" w:type="dxa"/>
              <w:right w:w="0" w:type="dxa"/>
            </w:tcMar>
            <w:vAlign w:val="center"/>
          </w:tcPr>
          <w:p w14:paraId="04691E95" w14:textId="77777777" w:rsidR="008A1A40" w:rsidRPr="001F1765" w:rsidRDefault="008A1A40" w:rsidP="006363B5">
            <w:pPr>
              <w:pStyle w:val="REG-P0"/>
              <w:ind w:left="57"/>
              <w:jc w:val="right"/>
              <w:rPr>
                <w:w w:val="105"/>
                <w:sz w:val="20"/>
                <w:szCs w:val="20"/>
              </w:rPr>
            </w:pPr>
            <w:r>
              <w:rPr>
                <w:w w:val="105"/>
                <w:sz w:val="20"/>
                <w:szCs w:val="20"/>
              </w:rPr>
              <w:t>-</w:t>
            </w:r>
          </w:p>
        </w:tc>
        <w:tc>
          <w:tcPr>
            <w:tcW w:w="337" w:type="dxa"/>
            <w:tcBorders>
              <w:top w:val="nil"/>
              <w:left w:val="nil"/>
              <w:bottom w:val="nil"/>
              <w:right w:val="nil"/>
            </w:tcBorders>
            <w:tcMar>
              <w:left w:w="0" w:type="dxa"/>
              <w:right w:w="0" w:type="dxa"/>
            </w:tcMar>
            <w:vAlign w:val="center"/>
          </w:tcPr>
          <w:p w14:paraId="4FC6E9DC" w14:textId="77777777" w:rsidR="008A1A40" w:rsidRPr="001F1765" w:rsidRDefault="008A1A40" w:rsidP="00384BAB">
            <w:pPr>
              <w:pStyle w:val="REG-P0"/>
              <w:jc w:val="right"/>
              <w:rPr>
                <w:w w:val="105"/>
                <w:sz w:val="20"/>
                <w:szCs w:val="20"/>
              </w:rPr>
            </w:pPr>
            <w:r w:rsidRPr="001F1765">
              <w:rPr>
                <w:sz w:val="20"/>
                <w:szCs w:val="20"/>
              </w:rPr>
              <w:t>N$</w:t>
            </w:r>
          </w:p>
        </w:tc>
        <w:tc>
          <w:tcPr>
            <w:tcW w:w="1166" w:type="dxa"/>
            <w:tcBorders>
              <w:top w:val="nil"/>
              <w:left w:val="nil"/>
              <w:bottom w:val="nil"/>
              <w:right w:val="single" w:sz="4" w:space="0" w:color="000000"/>
            </w:tcBorders>
            <w:tcMar>
              <w:right w:w="68" w:type="dxa"/>
            </w:tcMar>
            <w:vAlign w:val="center"/>
          </w:tcPr>
          <w:p w14:paraId="1D066B73" w14:textId="2D3547CE" w:rsidR="008A1A40" w:rsidRPr="001F1765" w:rsidRDefault="008A1A40" w:rsidP="00384BAB">
            <w:pPr>
              <w:pStyle w:val="REG-P0"/>
              <w:jc w:val="right"/>
              <w:rPr>
                <w:w w:val="105"/>
                <w:sz w:val="20"/>
                <w:szCs w:val="20"/>
              </w:rPr>
            </w:pPr>
            <w:r>
              <w:rPr>
                <w:sz w:val="20"/>
                <w:szCs w:val="20"/>
              </w:rPr>
              <w:t>128</w:t>
            </w:r>
            <w:r w:rsidRPr="001F1765">
              <w:rPr>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1A54DC0B" w14:textId="0A0619C7" w:rsidR="008A1A40" w:rsidRPr="001F1765" w:rsidRDefault="008A1A40" w:rsidP="00384BAB">
            <w:pPr>
              <w:pStyle w:val="REG-P0"/>
              <w:tabs>
                <w:tab w:val="clear" w:pos="567"/>
              </w:tabs>
              <w:jc w:val="right"/>
              <w:rPr>
                <w:sz w:val="20"/>
                <w:szCs w:val="20"/>
              </w:rPr>
            </w:pPr>
            <w:r w:rsidRPr="001F1765">
              <w:rPr>
                <w:w w:val="105"/>
                <w:sz w:val="20"/>
                <w:szCs w:val="20"/>
              </w:rPr>
              <w:t xml:space="preserve">N$ </w:t>
            </w:r>
            <w:r>
              <w:rPr>
                <w:w w:val="105"/>
                <w:sz w:val="20"/>
                <w:szCs w:val="20"/>
              </w:rPr>
              <w:t xml:space="preserve"> </w:t>
            </w:r>
            <w:r w:rsidR="00986938" w:rsidRPr="00575C4B">
              <w:rPr>
                <w:w w:val="105"/>
                <w:sz w:val="20"/>
                <w:szCs w:val="20"/>
              </w:rPr>
              <w:t>876 500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448A4D7D" w14:textId="31DF13D1" w:rsidR="008A1A40" w:rsidRPr="001F1765" w:rsidRDefault="00CA0B40" w:rsidP="00384BAB">
            <w:pPr>
              <w:pStyle w:val="REG-P0"/>
              <w:tabs>
                <w:tab w:val="left" w:pos="1080"/>
                <w:tab w:val="left" w:pos="1956"/>
                <w:tab w:val="left" w:pos="2013"/>
                <w:tab w:val="left" w:pos="2053"/>
              </w:tabs>
              <w:rPr>
                <w:sz w:val="20"/>
                <w:szCs w:val="20"/>
              </w:rPr>
            </w:pPr>
            <w:r>
              <w:rPr>
                <w:sz w:val="20"/>
                <w:szCs w:val="20"/>
              </w:rPr>
              <w:t>0</w:t>
            </w:r>
            <w:r w:rsidR="008A1A40" w:rsidRPr="001F1765">
              <w:rPr>
                <w:sz w:val="20"/>
                <w:szCs w:val="20"/>
              </w:rPr>
              <w:t>,</w:t>
            </w:r>
            <w:r>
              <w:rPr>
                <w:sz w:val="20"/>
                <w:szCs w:val="20"/>
              </w:rPr>
              <w:t>80</w:t>
            </w:r>
            <w:r w:rsidR="008A1A40" w:rsidRPr="001F1765">
              <w:rPr>
                <w:sz w:val="20"/>
                <w:szCs w:val="20"/>
              </w:rPr>
              <w:t>%</w:t>
            </w:r>
            <w:r w:rsidR="008A1A40">
              <w:rPr>
                <w:sz w:val="20"/>
                <w:szCs w:val="20"/>
              </w:rPr>
              <w:tab/>
            </w:r>
            <w:r w:rsidR="008A1A40" w:rsidRPr="001F1765">
              <w:rPr>
                <w:sz w:val="20"/>
                <w:szCs w:val="20"/>
              </w:rPr>
              <w:t>on balance over</w:t>
            </w:r>
            <w:r w:rsidR="008A1A40">
              <w:rPr>
                <w:sz w:val="20"/>
                <w:szCs w:val="20"/>
              </w:rPr>
              <w:tab/>
            </w:r>
            <w:r w:rsidR="008A1A40" w:rsidRPr="001F1765">
              <w:rPr>
                <w:sz w:val="20"/>
                <w:szCs w:val="20"/>
              </w:rPr>
              <w:t>N$</w:t>
            </w:r>
            <w:r w:rsidR="008A1A40">
              <w:rPr>
                <w:sz w:val="20"/>
                <w:szCs w:val="20"/>
              </w:rPr>
              <w:t> </w:t>
            </w:r>
            <w:r w:rsidR="00742DEA">
              <w:rPr>
                <w:sz w:val="20"/>
                <w:szCs w:val="20"/>
              </w:rPr>
              <w:t>64</w:t>
            </w:r>
            <w:r w:rsidR="008A1A40" w:rsidRPr="001F1765">
              <w:rPr>
                <w:sz w:val="20"/>
                <w:szCs w:val="20"/>
              </w:rPr>
              <w:t xml:space="preserve"> 000 000</w:t>
            </w:r>
          </w:p>
        </w:tc>
      </w:tr>
      <w:tr w:rsidR="00B43CC2" w14:paraId="3837BDE0" w14:textId="77777777" w:rsidTr="00441C1E">
        <w:tc>
          <w:tcPr>
            <w:tcW w:w="416" w:type="dxa"/>
            <w:tcBorders>
              <w:top w:val="nil"/>
              <w:left w:val="single" w:sz="8" w:space="0" w:color="auto"/>
              <w:bottom w:val="nil"/>
              <w:right w:val="nil"/>
            </w:tcBorders>
            <w:tcMar>
              <w:right w:w="0" w:type="dxa"/>
            </w:tcMar>
            <w:vAlign w:val="center"/>
          </w:tcPr>
          <w:p w14:paraId="0564B02F" w14:textId="77777777" w:rsidR="008A1A40" w:rsidRPr="001F1765" w:rsidRDefault="008A1A40" w:rsidP="00384BAB">
            <w:pPr>
              <w:pStyle w:val="REG-P0"/>
              <w:jc w:val="right"/>
              <w:rPr>
                <w:sz w:val="20"/>
                <w:szCs w:val="20"/>
              </w:rPr>
            </w:pPr>
            <w:r w:rsidRPr="001F1765">
              <w:rPr>
                <w:w w:val="105"/>
                <w:sz w:val="20"/>
                <w:szCs w:val="20"/>
              </w:rPr>
              <w:t xml:space="preserve">N$ </w:t>
            </w:r>
          </w:p>
        </w:tc>
        <w:tc>
          <w:tcPr>
            <w:tcW w:w="1077" w:type="dxa"/>
            <w:tcBorders>
              <w:top w:val="nil"/>
              <w:left w:val="nil"/>
              <w:bottom w:val="nil"/>
              <w:right w:val="nil"/>
            </w:tcBorders>
            <w:tcMar>
              <w:left w:w="0" w:type="dxa"/>
              <w:right w:w="0" w:type="dxa"/>
            </w:tcMar>
            <w:vAlign w:val="center"/>
          </w:tcPr>
          <w:p w14:paraId="02C7A4AA" w14:textId="0C754FB2" w:rsidR="008A1A40" w:rsidRPr="001F1765" w:rsidRDefault="008A1A40" w:rsidP="00B65A83">
            <w:pPr>
              <w:pStyle w:val="REG-P0"/>
              <w:ind w:right="23"/>
              <w:jc w:val="right"/>
              <w:rPr>
                <w:sz w:val="20"/>
                <w:szCs w:val="20"/>
              </w:rPr>
            </w:pPr>
            <w:r>
              <w:rPr>
                <w:w w:val="105"/>
                <w:sz w:val="20"/>
                <w:szCs w:val="20"/>
              </w:rPr>
              <w:t>128</w:t>
            </w:r>
            <w:r w:rsidRPr="001F1765">
              <w:rPr>
                <w:w w:val="105"/>
                <w:sz w:val="20"/>
                <w:szCs w:val="20"/>
              </w:rPr>
              <w:t xml:space="preserve"> 000 000</w:t>
            </w:r>
          </w:p>
        </w:tc>
        <w:tc>
          <w:tcPr>
            <w:tcW w:w="113" w:type="dxa"/>
            <w:tcBorders>
              <w:top w:val="nil"/>
              <w:left w:val="nil"/>
              <w:bottom w:val="nil"/>
              <w:right w:val="nil"/>
            </w:tcBorders>
            <w:tcMar>
              <w:left w:w="0" w:type="dxa"/>
              <w:right w:w="0" w:type="dxa"/>
            </w:tcMar>
            <w:vAlign w:val="center"/>
          </w:tcPr>
          <w:p w14:paraId="4004B9F7" w14:textId="77777777" w:rsidR="008A1A40" w:rsidRPr="001F1765" w:rsidRDefault="008A1A40" w:rsidP="006363B5">
            <w:pPr>
              <w:pStyle w:val="REG-P0"/>
              <w:ind w:left="57"/>
              <w:jc w:val="right"/>
              <w:rPr>
                <w:sz w:val="20"/>
                <w:szCs w:val="20"/>
              </w:rPr>
            </w:pPr>
            <w:r>
              <w:rPr>
                <w:sz w:val="20"/>
                <w:szCs w:val="20"/>
              </w:rPr>
              <w:t>-</w:t>
            </w:r>
          </w:p>
        </w:tc>
        <w:tc>
          <w:tcPr>
            <w:tcW w:w="337" w:type="dxa"/>
            <w:tcBorders>
              <w:top w:val="nil"/>
              <w:left w:val="nil"/>
              <w:bottom w:val="nil"/>
              <w:right w:val="nil"/>
            </w:tcBorders>
            <w:tcMar>
              <w:left w:w="0" w:type="dxa"/>
              <w:right w:w="0" w:type="dxa"/>
            </w:tcMar>
            <w:vAlign w:val="center"/>
          </w:tcPr>
          <w:p w14:paraId="105F1905" w14:textId="77777777" w:rsidR="008A1A40" w:rsidRPr="001F1765" w:rsidRDefault="008A1A40" w:rsidP="00384BAB">
            <w:pPr>
              <w:pStyle w:val="REG-P0"/>
              <w:jc w:val="right"/>
              <w:rPr>
                <w:sz w:val="20"/>
                <w:szCs w:val="20"/>
              </w:rPr>
            </w:pPr>
            <w:r w:rsidRPr="001F1765">
              <w:rPr>
                <w:w w:val="105"/>
                <w:sz w:val="20"/>
                <w:szCs w:val="20"/>
              </w:rPr>
              <w:t>N$</w:t>
            </w:r>
          </w:p>
        </w:tc>
        <w:tc>
          <w:tcPr>
            <w:tcW w:w="1166" w:type="dxa"/>
            <w:tcBorders>
              <w:top w:val="nil"/>
              <w:left w:val="nil"/>
              <w:bottom w:val="nil"/>
              <w:right w:val="single" w:sz="4" w:space="0" w:color="000000"/>
            </w:tcBorders>
            <w:tcMar>
              <w:right w:w="68" w:type="dxa"/>
            </w:tcMar>
            <w:vAlign w:val="center"/>
          </w:tcPr>
          <w:p w14:paraId="2B4F8898" w14:textId="1152270D" w:rsidR="008A1A40" w:rsidRPr="001F1765" w:rsidRDefault="008A1A40" w:rsidP="00384BAB">
            <w:pPr>
              <w:pStyle w:val="REG-P0"/>
              <w:jc w:val="right"/>
              <w:rPr>
                <w:sz w:val="20"/>
                <w:szCs w:val="20"/>
              </w:rPr>
            </w:pPr>
            <w:r>
              <w:rPr>
                <w:w w:val="105"/>
                <w:sz w:val="20"/>
                <w:szCs w:val="20"/>
              </w:rPr>
              <w:t>256</w:t>
            </w:r>
            <w:r w:rsidRPr="001F1765">
              <w:rPr>
                <w:w w:val="105"/>
                <w:sz w:val="20"/>
                <w:szCs w:val="20"/>
              </w:rPr>
              <w:t xml:space="preserve"> 000 000</w:t>
            </w:r>
          </w:p>
        </w:tc>
        <w:tc>
          <w:tcPr>
            <w:tcW w:w="1269" w:type="dxa"/>
            <w:tcBorders>
              <w:top w:val="nil"/>
              <w:left w:val="single" w:sz="4" w:space="0" w:color="000000"/>
              <w:bottom w:val="nil"/>
              <w:right w:val="single" w:sz="4" w:space="0" w:color="000000"/>
            </w:tcBorders>
            <w:tcMar>
              <w:left w:w="68" w:type="dxa"/>
              <w:right w:w="68" w:type="dxa"/>
            </w:tcMar>
            <w:vAlign w:val="center"/>
          </w:tcPr>
          <w:p w14:paraId="2537F667" w14:textId="4D2C4D05" w:rsidR="008A1A40" w:rsidRPr="001F1765" w:rsidRDefault="008A1A40" w:rsidP="00384BAB">
            <w:pPr>
              <w:pStyle w:val="REG-P0"/>
              <w:tabs>
                <w:tab w:val="clear" w:pos="567"/>
              </w:tabs>
              <w:jc w:val="right"/>
              <w:rPr>
                <w:sz w:val="20"/>
                <w:szCs w:val="20"/>
              </w:rPr>
            </w:pPr>
            <w:r w:rsidRPr="001F1765">
              <w:rPr>
                <w:sz w:val="20"/>
                <w:szCs w:val="20"/>
              </w:rPr>
              <w:t xml:space="preserve">N$1 </w:t>
            </w:r>
            <w:r w:rsidR="00986938">
              <w:rPr>
                <w:sz w:val="20"/>
                <w:szCs w:val="20"/>
              </w:rPr>
              <w:t>388</w:t>
            </w:r>
            <w:r w:rsidRPr="001F1765">
              <w:rPr>
                <w:sz w:val="20"/>
                <w:szCs w:val="20"/>
              </w:rPr>
              <w:t xml:space="preserve"> </w:t>
            </w:r>
            <w:r w:rsidR="00986938">
              <w:rPr>
                <w:sz w:val="20"/>
                <w:szCs w:val="20"/>
              </w:rPr>
              <w:t>500</w:t>
            </w:r>
          </w:p>
        </w:tc>
        <w:tc>
          <w:tcPr>
            <w:tcW w:w="3409" w:type="dxa"/>
            <w:gridSpan w:val="2"/>
            <w:tcBorders>
              <w:top w:val="nil"/>
              <w:left w:val="single" w:sz="4" w:space="0" w:color="000000"/>
              <w:bottom w:val="nil"/>
              <w:right w:val="single" w:sz="8" w:space="0" w:color="auto"/>
            </w:tcBorders>
            <w:tcMar>
              <w:left w:w="68" w:type="dxa"/>
              <w:right w:w="68" w:type="dxa"/>
            </w:tcMar>
            <w:vAlign w:val="center"/>
          </w:tcPr>
          <w:p w14:paraId="6EF49652" w14:textId="023E9826" w:rsidR="008A1A40" w:rsidRPr="001F1765" w:rsidRDefault="00CA0B40" w:rsidP="00CF10D4">
            <w:pPr>
              <w:pStyle w:val="REG-P0"/>
              <w:tabs>
                <w:tab w:val="left" w:pos="1080"/>
                <w:tab w:val="left" w:pos="1956"/>
                <w:tab w:val="left" w:pos="2013"/>
                <w:tab w:val="left" w:pos="2053"/>
              </w:tabs>
              <w:rPr>
                <w:sz w:val="20"/>
                <w:szCs w:val="20"/>
              </w:rPr>
            </w:pPr>
            <w:r>
              <w:rPr>
                <w:sz w:val="20"/>
                <w:szCs w:val="20"/>
              </w:rPr>
              <w:t>0</w:t>
            </w:r>
            <w:r w:rsidR="008A1A40" w:rsidRPr="001F1765">
              <w:rPr>
                <w:sz w:val="20"/>
                <w:szCs w:val="20"/>
              </w:rPr>
              <w:t>,</w:t>
            </w:r>
            <w:r>
              <w:rPr>
                <w:sz w:val="20"/>
                <w:szCs w:val="20"/>
              </w:rPr>
              <w:t>70</w:t>
            </w:r>
            <w:r w:rsidR="008A1A40" w:rsidRPr="001F1765">
              <w:rPr>
                <w:sz w:val="20"/>
                <w:szCs w:val="20"/>
              </w:rPr>
              <w:t>%</w:t>
            </w:r>
            <w:r w:rsidR="008A1A40">
              <w:rPr>
                <w:sz w:val="20"/>
                <w:szCs w:val="20"/>
              </w:rPr>
              <w:tab/>
            </w:r>
            <w:r w:rsidR="008A1A40" w:rsidRPr="001F1765">
              <w:rPr>
                <w:sz w:val="20"/>
                <w:szCs w:val="20"/>
              </w:rPr>
              <w:t>on balance over</w:t>
            </w:r>
            <w:r w:rsidR="008A1A40">
              <w:rPr>
                <w:sz w:val="20"/>
                <w:szCs w:val="20"/>
              </w:rPr>
              <w:tab/>
            </w:r>
            <w:r w:rsidR="008A1A40" w:rsidRPr="001F1765">
              <w:rPr>
                <w:sz w:val="20"/>
                <w:szCs w:val="20"/>
              </w:rPr>
              <w:t>N$</w:t>
            </w:r>
            <w:r w:rsidR="00742DEA">
              <w:rPr>
                <w:sz w:val="20"/>
                <w:szCs w:val="20"/>
              </w:rPr>
              <w:t>128</w:t>
            </w:r>
            <w:r w:rsidR="008A1A40" w:rsidRPr="001F1765">
              <w:rPr>
                <w:sz w:val="20"/>
                <w:szCs w:val="20"/>
              </w:rPr>
              <w:t xml:space="preserve"> 000 000</w:t>
            </w:r>
          </w:p>
        </w:tc>
      </w:tr>
      <w:tr w:rsidR="008A1A40" w14:paraId="3050D7A6" w14:textId="77777777" w:rsidTr="00441C1E">
        <w:tc>
          <w:tcPr>
            <w:tcW w:w="416" w:type="dxa"/>
            <w:tcBorders>
              <w:top w:val="nil"/>
              <w:left w:val="single" w:sz="8" w:space="0" w:color="auto"/>
              <w:bottom w:val="single" w:sz="12" w:space="0" w:color="auto"/>
              <w:right w:val="nil"/>
            </w:tcBorders>
            <w:tcMar>
              <w:right w:w="0" w:type="dxa"/>
            </w:tcMar>
            <w:vAlign w:val="center"/>
          </w:tcPr>
          <w:p w14:paraId="2D9C3C6E" w14:textId="77777777" w:rsidR="008A1A40" w:rsidRPr="001F1765" w:rsidRDefault="008A1A40" w:rsidP="00384BAB">
            <w:pPr>
              <w:pStyle w:val="REG-P0"/>
              <w:jc w:val="right"/>
              <w:rPr>
                <w:w w:val="105"/>
                <w:sz w:val="20"/>
                <w:szCs w:val="20"/>
              </w:rPr>
            </w:pPr>
            <w:r>
              <w:rPr>
                <w:w w:val="105"/>
                <w:sz w:val="20"/>
                <w:szCs w:val="20"/>
              </w:rPr>
              <w:t>N$</w:t>
            </w:r>
          </w:p>
        </w:tc>
        <w:tc>
          <w:tcPr>
            <w:tcW w:w="1077" w:type="dxa"/>
            <w:tcBorders>
              <w:top w:val="nil"/>
              <w:left w:val="nil"/>
              <w:bottom w:val="single" w:sz="12" w:space="0" w:color="auto"/>
              <w:right w:val="nil"/>
            </w:tcBorders>
            <w:tcMar>
              <w:left w:w="0" w:type="dxa"/>
              <w:right w:w="0" w:type="dxa"/>
            </w:tcMar>
            <w:vAlign w:val="center"/>
          </w:tcPr>
          <w:p w14:paraId="5DC71B81" w14:textId="77777777" w:rsidR="008A1A40" w:rsidRPr="00C64F93" w:rsidRDefault="008A1A40" w:rsidP="00B65A83">
            <w:pPr>
              <w:pStyle w:val="REG-P0"/>
              <w:ind w:right="23"/>
              <w:jc w:val="right"/>
              <w:rPr>
                <w:w w:val="105"/>
                <w:sz w:val="20"/>
                <w:szCs w:val="20"/>
              </w:rPr>
            </w:pPr>
            <w:r w:rsidRPr="00C64F93">
              <w:rPr>
                <w:sz w:val="20"/>
                <w:szCs w:val="20"/>
              </w:rPr>
              <w:t>256 000 000</w:t>
            </w:r>
          </w:p>
        </w:tc>
        <w:tc>
          <w:tcPr>
            <w:tcW w:w="113" w:type="dxa"/>
            <w:tcBorders>
              <w:top w:val="nil"/>
              <w:left w:val="nil"/>
              <w:bottom w:val="single" w:sz="12" w:space="0" w:color="auto"/>
              <w:right w:val="nil"/>
            </w:tcBorders>
            <w:tcMar>
              <w:left w:w="0" w:type="dxa"/>
              <w:right w:w="0" w:type="dxa"/>
            </w:tcMar>
            <w:vAlign w:val="center"/>
          </w:tcPr>
          <w:p w14:paraId="3A771202" w14:textId="0DD67D16" w:rsidR="008A1A40" w:rsidRDefault="008A1A40" w:rsidP="00B43CC2">
            <w:pPr>
              <w:pStyle w:val="REG-P0"/>
              <w:jc w:val="right"/>
              <w:rPr>
                <w:sz w:val="20"/>
                <w:szCs w:val="20"/>
              </w:rPr>
            </w:pPr>
          </w:p>
        </w:tc>
        <w:tc>
          <w:tcPr>
            <w:tcW w:w="1503" w:type="dxa"/>
            <w:gridSpan w:val="2"/>
            <w:tcBorders>
              <w:top w:val="nil"/>
              <w:left w:val="nil"/>
              <w:bottom w:val="single" w:sz="12" w:space="0" w:color="auto"/>
              <w:right w:val="single" w:sz="4" w:space="0" w:color="000000"/>
            </w:tcBorders>
            <w:tcMar>
              <w:left w:w="0" w:type="dxa"/>
              <w:right w:w="0" w:type="dxa"/>
            </w:tcMar>
            <w:vAlign w:val="center"/>
          </w:tcPr>
          <w:p w14:paraId="04FAB105" w14:textId="331BA905" w:rsidR="008A1A40" w:rsidRPr="001F1765" w:rsidRDefault="008A1A40" w:rsidP="00384BAB">
            <w:pPr>
              <w:pStyle w:val="REG-P0"/>
              <w:tabs>
                <w:tab w:val="clear" w:pos="567"/>
              </w:tabs>
              <w:rPr>
                <w:w w:val="105"/>
                <w:sz w:val="20"/>
                <w:szCs w:val="20"/>
              </w:rPr>
            </w:pPr>
            <w:r w:rsidRPr="001F1765">
              <w:rPr>
                <w:sz w:val="20"/>
                <w:szCs w:val="20"/>
              </w:rPr>
              <w:t>and over</w:t>
            </w:r>
          </w:p>
        </w:tc>
        <w:tc>
          <w:tcPr>
            <w:tcW w:w="1269" w:type="dxa"/>
            <w:tcBorders>
              <w:top w:val="nil"/>
              <w:left w:val="single" w:sz="4" w:space="0" w:color="000000"/>
              <w:bottom w:val="single" w:sz="12" w:space="0" w:color="auto"/>
              <w:right w:val="single" w:sz="4" w:space="0" w:color="000000"/>
            </w:tcBorders>
            <w:tcMar>
              <w:left w:w="68" w:type="dxa"/>
              <w:right w:w="68" w:type="dxa"/>
            </w:tcMar>
            <w:vAlign w:val="center"/>
          </w:tcPr>
          <w:p w14:paraId="2065BB93" w14:textId="473B5308" w:rsidR="008A1A40" w:rsidRPr="001F1765" w:rsidRDefault="008A1A40" w:rsidP="00384BAB">
            <w:pPr>
              <w:pStyle w:val="REG-P0"/>
              <w:tabs>
                <w:tab w:val="clear" w:pos="567"/>
              </w:tabs>
              <w:jc w:val="right"/>
              <w:rPr>
                <w:sz w:val="20"/>
                <w:szCs w:val="20"/>
              </w:rPr>
            </w:pPr>
            <w:r w:rsidRPr="001F1765">
              <w:rPr>
                <w:sz w:val="20"/>
                <w:szCs w:val="20"/>
              </w:rPr>
              <w:t>N$</w:t>
            </w:r>
            <w:r w:rsidR="000A692D">
              <w:rPr>
                <w:sz w:val="20"/>
                <w:szCs w:val="20"/>
              </w:rPr>
              <w:t>2</w:t>
            </w:r>
            <w:r w:rsidRPr="001F1765">
              <w:rPr>
                <w:sz w:val="20"/>
                <w:szCs w:val="20"/>
              </w:rPr>
              <w:t xml:space="preserve"> </w:t>
            </w:r>
            <w:r w:rsidR="000A692D">
              <w:rPr>
                <w:sz w:val="20"/>
                <w:szCs w:val="20"/>
              </w:rPr>
              <w:t>284</w:t>
            </w:r>
            <w:r w:rsidRPr="001F1765">
              <w:rPr>
                <w:sz w:val="20"/>
                <w:szCs w:val="20"/>
              </w:rPr>
              <w:t xml:space="preserve"> </w:t>
            </w:r>
            <w:r w:rsidR="000A692D">
              <w:rPr>
                <w:sz w:val="20"/>
                <w:szCs w:val="20"/>
              </w:rPr>
              <w:t>500</w:t>
            </w:r>
          </w:p>
        </w:tc>
        <w:tc>
          <w:tcPr>
            <w:tcW w:w="3409" w:type="dxa"/>
            <w:gridSpan w:val="2"/>
            <w:tcBorders>
              <w:top w:val="nil"/>
              <w:left w:val="single" w:sz="4" w:space="0" w:color="000000"/>
              <w:bottom w:val="single" w:sz="12" w:space="0" w:color="auto"/>
              <w:right w:val="single" w:sz="8" w:space="0" w:color="auto"/>
            </w:tcBorders>
            <w:tcMar>
              <w:left w:w="68" w:type="dxa"/>
              <w:right w:w="68" w:type="dxa"/>
            </w:tcMar>
            <w:vAlign w:val="center"/>
          </w:tcPr>
          <w:p w14:paraId="79D9B710" w14:textId="77B0FBAE" w:rsidR="008A1A40" w:rsidRPr="001F1765" w:rsidRDefault="00CA0B40" w:rsidP="00CF10D4">
            <w:pPr>
              <w:pStyle w:val="REG-P0"/>
              <w:tabs>
                <w:tab w:val="left" w:pos="1956"/>
              </w:tabs>
              <w:jc w:val="left"/>
              <w:rPr>
                <w:sz w:val="20"/>
                <w:szCs w:val="20"/>
              </w:rPr>
            </w:pPr>
            <w:r>
              <w:rPr>
                <w:sz w:val="20"/>
                <w:szCs w:val="20"/>
              </w:rPr>
              <w:t>0</w:t>
            </w:r>
            <w:r w:rsidR="00CF10D4" w:rsidRPr="001F1765">
              <w:rPr>
                <w:sz w:val="20"/>
                <w:szCs w:val="20"/>
              </w:rPr>
              <w:t>,</w:t>
            </w:r>
            <w:r>
              <w:rPr>
                <w:sz w:val="20"/>
                <w:szCs w:val="20"/>
              </w:rPr>
              <w:t>60</w:t>
            </w:r>
            <w:r w:rsidR="00CF10D4" w:rsidRPr="001F1765">
              <w:rPr>
                <w:sz w:val="20"/>
                <w:szCs w:val="20"/>
              </w:rPr>
              <w:t>%</w:t>
            </w:r>
            <w:r w:rsidR="00CF10D4">
              <w:rPr>
                <w:sz w:val="20"/>
                <w:szCs w:val="20"/>
              </w:rPr>
              <w:tab/>
            </w:r>
            <w:r w:rsidR="00CF10D4" w:rsidRPr="001F1765">
              <w:rPr>
                <w:sz w:val="20"/>
                <w:szCs w:val="20"/>
              </w:rPr>
              <w:t>on balance over</w:t>
            </w:r>
            <w:r w:rsidR="00CF10D4">
              <w:rPr>
                <w:sz w:val="20"/>
                <w:szCs w:val="20"/>
              </w:rPr>
              <w:tab/>
            </w:r>
            <w:r w:rsidR="00CF10D4" w:rsidRPr="001F1765">
              <w:rPr>
                <w:sz w:val="20"/>
                <w:szCs w:val="20"/>
              </w:rPr>
              <w:t>N$</w:t>
            </w:r>
            <w:r w:rsidR="008C76CC">
              <w:rPr>
                <w:sz w:val="20"/>
                <w:szCs w:val="20"/>
              </w:rPr>
              <w:t>256</w:t>
            </w:r>
            <w:r w:rsidR="00CF10D4" w:rsidRPr="001F1765">
              <w:rPr>
                <w:sz w:val="20"/>
                <w:szCs w:val="20"/>
              </w:rPr>
              <w:t xml:space="preserve"> 000 000</w:t>
            </w:r>
          </w:p>
        </w:tc>
      </w:tr>
    </w:tbl>
    <w:p w14:paraId="79BE101F" w14:textId="77777777" w:rsidR="00B93CFE" w:rsidRDefault="00B93CFE" w:rsidP="00AA2583">
      <w:pPr>
        <w:pStyle w:val="REG-P1"/>
        <w:ind w:left="1134" w:firstLine="0"/>
      </w:pPr>
    </w:p>
    <w:p w14:paraId="46EDC519" w14:textId="4C87330B" w:rsidR="003101CC" w:rsidRPr="00575C4B" w:rsidRDefault="00206481" w:rsidP="00AA2583">
      <w:pPr>
        <w:pStyle w:val="REG-P1"/>
        <w:ind w:left="1134" w:firstLine="0"/>
      </w:pPr>
      <w:r w:rsidRPr="00575C4B">
        <w:t>The cost of the storage infrastructure, security and insurance shall be separately dealt with by arrangement with the client.</w:t>
      </w:r>
    </w:p>
    <w:p w14:paraId="2AAF28E0" w14:textId="77777777" w:rsidR="003101CC" w:rsidRPr="00575C4B" w:rsidRDefault="003101CC" w:rsidP="00AA2583">
      <w:pPr>
        <w:pStyle w:val="REG-P0"/>
        <w:ind w:left="567"/>
      </w:pPr>
    </w:p>
    <w:p w14:paraId="1CBFD638" w14:textId="77777777" w:rsidR="003101CC" w:rsidRDefault="00206481" w:rsidP="00AA2583">
      <w:pPr>
        <w:pStyle w:val="REG-Pa"/>
      </w:pPr>
      <w:r>
        <w:t>(f)</w:t>
      </w:r>
      <w:r>
        <w:tab/>
      </w:r>
      <w:r w:rsidRPr="00575C4B">
        <w:t>The appropriate percentage related to single unit affordable housing</w:t>
      </w:r>
      <w:r w:rsidR="00AA2583">
        <w:t xml:space="preserve"> </w:t>
      </w:r>
      <w:r w:rsidRPr="00575C4B">
        <w:t>shall be as follows:</w:t>
      </w:r>
    </w:p>
    <w:p w14:paraId="0689E8B5" w14:textId="59E94861" w:rsidR="00575C4B" w:rsidRDefault="00575C4B" w:rsidP="00AA2583">
      <w:pPr>
        <w:pStyle w:val="REG-Pa"/>
      </w:pPr>
    </w:p>
    <w:p w14:paraId="658AA886" w14:textId="136FFD1E" w:rsidR="00DC4DEA" w:rsidRDefault="00DC4DEA" w:rsidP="00AA2583">
      <w:pPr>
        <w:pStyle w:val="REG-Pa"/>
      </w:pPr>
    </w:p>
    <w:p w14:paraId="4A4E129B" w14:textId="302CB2AE" w:rsidR="00DC4DEA" w:rsidRDefault="00DC4DEA" w:rsidP="00AA2583">
      <w:pPr>
        <w:pStyle w:val="REG-Pa"/>
      </w:pPr>
    </w:p>
    <w:p w14:paraId="3DCF860B" w14:textId="77777777" w:rsidR="00DC4DEA" w:rsidRPr="00575C4B" w:rsidRDefault="00DC4DEA" w:rsidP="00AA2583">
      <w:pPr>
        <w:pStyle w:val="REG-Pa"/>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59"/>
        <w:gridCol w:w="1745"/>
        <w:gridCol w:w="1702"/>
      </w:tblGrid>
      <w:tr w:rsidR="00271040" w14:paraId="7DA966BB" w14:textId="77777777" w:rsidTr="00F30662">
        <w:trPr>
          <w:trHeight w:val="412"/>
        </w:trPr>
        <w:tc>
          <w:tcPr>
            <w:tcW w:w="4159" w:type="dxa"/>
            <w:vMerge w:val="restart"/>
            <w:tcBorders>
              <w:bottom w:val="single" w:sz="4" w:space="0" w:color="000000"/>
            </w:tcBorders>
          </w:tcPr>
          <w:p w14:paraId="73B10A5E" w14:textId="77777777" w:rsidR="003101CC" w:rsidRPr="00575C4B" w:rsidRDefault="003101CC" w:rsidP="001F1765">
            <w:pPr>
              <w:pStyle w:val="TableParagraph"/>
              <w:rPr>
                <w:rFonts w:cs="Times New Roman"/>
                <w:sz w:val="20"/>
                <w:szCs w:val="20"/>
              </w:rPr>
            </w:pPr>
          </w:p>
          <w:p w14:paraId="69E7B534" w14:textId="77777777" w:rsidR="003101CC" w:rsidRPr="00575C4B" w:rsidRDefault="003101CC" w:rsidP="001F1765">
            <w:pPr>
              <w:pStyle w:val="TableParagraph"/>
              <w:rPr>
                <w:rFonts w:cs="Times New Roman"/>
                <w:sz w:val="20"/>
                <w:szCs w:val="20"/>
              </w:rPr>
            </w:pPr>
          </w:p>
          <w:p w14:paraId="791F6BDF" w14:textId="77777777" w:rsidR="003101CC" w:rsidRPr="00575C4B" w:rsidRDefault="00206481" w:rsidP="001F1765">
            <w:pPr>
              <w:pStyle w:val="TableParagraph"/>
              <w:ind w:left="1644" w:right="1585"/>
              <w:jc w:val="center"/>
              <w:rPr>
                <w:rFonts w:cs="Times New Roman"/>
                <w:b/>
                <w:sz w:val="20"/>
                <w:szCs w:val="20"/>
              </w:rPr>
            </w:pPr>
            <w:r w:rsidRPr="00575C4B">
              <w:rPr>
                <w:rFonts w:cs="Times New Roman"/>
                <w:b/>
                <w:w w:val="105"/>
                <w:sz w:val="20"/>
                <w:szCs w:val="20"/>
              </w:rPr>
              <w:t>Category</w:t>
            </w:r>
          </w:p>
        </w:tc>
        <w:tc>
          <w:tcPr>
            <w:tcW w:w="3447" w:type="dxa"/>
            <w:gridSpan w:val="2"/>
            <w:tcBorders>
              <w:bottom w:val="single" w:sz="4" w:space="0" w:color="000000"/>
            </w:tcBorders>
          </w:tcPr>
          <w:p w14:paraId="457A3E00" w14:textId="77777777" w:rsidR="003101CC" w:rsidRPr="00575C4B" w:rsidRDefault="00206481" w:rsidP="001F1765">
            <w:pPr>
              <w:pStyle w:val="TableParagraph"/>
              <w:spacing w:before="68"/>
              <w:ind w:left="565"/>
              <w:rPr>
                <w:rFonts w:cs="Times New Roman"/>
                <w:b/>
                <w:sz w:val="20"/>
                <w:szCs w:val="20"/>
              </w:rPr>
            </w:pPr>
            <w:r w:rsidRPr="00575C4B">
              <w:rPr>
                <w:rFonts w:cs="Times New Roman"/>
                <w:b/>
                <w:w w:val="105"/>
                <w:sz w:val="20"/>
                <w:szCs w:val="20"/>
              </w:rPr>
              <w:t>Appropriate percentage</w:t>
            </w:r>
          </w:p>
        </w:tc>
      </w:tr>
      <w:tr w:rsidR="00271040" w14:paraId="29E547F5" w14:textId="77777777" w:rsidTr="00F30662">
        <w:trPr>
          <w:trHeight w:val="581"/>
        </w:trPr>
        <w:tc>
          <w:tcPr>
            <w:tcW w:w="4159" w:type="dxa"/>
            <w:vMerge/>
            <w:tcBorders>
              <w:top w:val="nil"/>
              <w:bottom w:val="single" w:sz="4" w:space="0" w:color="000000"/>
            </w:tcBorders>
          </w:tcPr>
          <w:p w14:paraId="66D700E1" w14:textId="77777777" w:rsidR="003101CC" w:rsidRPr="00575C4B" w:rsidRDefault="003101CC" w:rsidP="001F1765">
            <w:pPr>
              <w:rPr>
                <w:rFonts w:cs="Times New Roman"/>
                <w:sz w:val="20"/>
                <w:szCs w:val="20"/>
              </w:rPr>
            </w:pPr>
          </w:p>
        </w:tc>
        <w:tc>
          <w:tcPr>
            <w:tcW w:w="1745" w:type="dxa"/>
            <w:tcBorders>
              <w:top w:val="single" w:sz="4" w:space="0" w:color="000000"/>
              <w:bottom w:val="single" w:sz="4" w:space="0" w:color="000000"/>
              <w:right w:val="single" w:sz="4" w:space="0" w:color="auto"/>
            </w:tcBorders>
          </w:tcPr>
          <w:p w14:paraId="614995C6" w14:textId="77777777" w:rsidR="003101CC" w:rsidRPr="00575C4B" w:rsidRDefault="00206481" w:rsidP="001F1765">
            <w:pPr>
              <w:pStyle w:val="TableParagraph"/>
              <w:spacing w:before="18" w:line="270" w:lineRule="atLeast"/>
              <w:ind w:left="34" w:firstLine="213"/>
              <w:rPr>
                <w:rFonts w:cs="Times New Roman"/>
                <w:sz w:val="20"/>
                <w:szCs w:val="20"/>
              </w:rPr>
            </w:pPr>
            <w:r w:rsidRPr="00575C4B">
              <w:rPr>
                <w:rFonts w:cs="Times New Roman"/>
                <w:w w:val="110"/>
                <w:sz w:val="20"/>
                <w:szCs w:val="20"/>
              </w:rPr>
              <w:t>Contract with bills of quantities*</w:t>
            </w:r>
          </w:p>
        </w:tc>
        <w:tc>
          <w:tcPr>
            <w:tcW w:w="1702" w:type="dxa"/>
            <w:tcBorders>
              <w:top w:val="single" w:sz="4" w:space="0" w:color="000000"/>
              <w:left w:val="single" w:sz="4" w:space="0" w:color="auto"/>
              <w:bottom w:val="single" w:sz="4" w:space="0" w:color="000000"/>
            </w:tcBorders>
          </w:tcPr>
          <w:p w14:paraId="5F03A532" w14:textId="77777777" w:rsidR="003101CC" w:rsidRPr="00575C4B" w:rsidRDefault="00206481" w:rsidP="001F1765">
            <w:pPr>
              <w:pStyle w:val="TableParagraph"/>
              <w:spacing w:before="8" w:line="280" w:lineRule="atLeast"/>
              <w:ind w:left="58" w:firstLine="20"/>
              <w:rPr>
                <w:rFonts w:cs="Times New Roman"/>
                <w:sz w:val="20"/>
                <w:szCs w:val="20"/>
              </w:rPr>
            </w:pPr>
            <w:r w:rsidRPr="00575C4B">
              <w:rPr>
                <w:rFonts w:cs="Times New Roman"/>
                <w:w w:val="110"/>
                <w:sz w:val="20"/>
                <w:szCs w:val="20"/>
              </w:rPr>
              <w:t>Contract without bills of quantities</w:t>
            </w:r>
          </w:p>
        </w:tc>
      </w:tr>
      <w:tr w:rsidR="00271040" w14:paraId="70B8887F" w14:textId="77777777" w:rsidTr="00F30662">
        <w:trPr>
          <w:trHeight w:val="316"/>
        </w:trPr>
        <w:tc>
          <w:tcPr>
            <w:tcW w:w="4159" w:type="dxa"/>
            <w:tcBorders>
              <w:top w:val="single" w:sz="4" w:space="0" w:color="000000"/>
            </w:tcBorders>
          </w:tcPr>
          <w:p w14:paraId="5C063ED8" w14:textId="77777777" w:rsidR="003101CC" w:rsidRPr="00575C4B" w:rsidRDefault="00206481" w:rsidP="001F1765">
            <w:pPr>
              <w:pStyle w:val="TableParagraph"/>
              <w:spacing w:before="77" w:line="219" w:lineRule="exact"/>
              <w:jc w:val="center"/>
              <w:rPr>
                <w:rFonts w:cs="Times New Roman"/>
                <w:sz w:val="20"/>
                <w:szCs w:val="20"/>
              </w:rPr>
            </w:pPr>
            <w:r w:rsidRPr="00575C4B">
              <w:rPr>
                <w:rFonts w:cs="Times New Roman"/>
                <w:w w:val="59"/>
                <w:sz w:val="20"/>
                <w:szCs w:val="20"/>
              </w:rPr>
              <w:t>1</w:t>
            </w:r>
          </w:p>
        </w:tc>
        <w:tc>
          <w:tcPr>
            <w:tcW w:w="1745" w:type="dxa"/>
            <w:tcBorders>
              <w:top w:val="single" w:sz="4" w:space="0" w:color="000000"/>
              <w:right w:val="single" w:sz="4" w:space="0" w:color="auto"/>
            </w:tcBorders>
          </w:tcPr>
          <w:p w14:paraId="76A5D130" w14:textId="77777777" w:rsidR="003101CC" w:rsidRPr="00575C4B" w:rsidRDefault="00206481" w:rsidP="001F1765">
            <w:pPr>
              <w:pStyle w:val="TableParagraph"/>
              <w:spacing w:before="82" w:line="214" w:lineRule="exact"/>
              <w:ind w:left="50"/>
              <w:jc w:val="center"/>
              <w:rPr>
                <w:rFonts w:cs="Times New Roman"/>
                <w:sz w:val="20"/>
                <w:szCs w:val="20"/>
              </w:rPr>
            </w:pPr>
            <w:r w:rsidRPr="00575C4B">
              <w:rPr>
                <w:rFonts w:cs="Times New Roman"/>
                <w:w w:val="109"/>
                <w:sz w:val="20"/>
                <w:szCs w:val="20"/>
              </w:rPr>
              <w:t>2</w:t>
            </w:r>
          </w:p>
        </w:tc>
        <w:tc>
          <w:tcPr>
            <w:tcW w:w="1702" w:type="dxa"/>
            <w:tcBorders>
              <w:top w:val="single" w:sz="4" w:space="0" w:color="000000"/>
              <w:left w:val="single" w:sz="4" w:space="0" w:color="auto"/>
            </w:tcBorders>
          </w:tcPr>
          <w:p w14:paraId="52570DC8" w14:textId="77777777" w:rsidR="003101CC" w:rsidRPr="00575C4B" w:rsidRDefault="00206481" w:rsidP="001F1765">
            <w:pPr>
              <w:pStyle w:val="TableParagraph"/>
              <w:spacing w:before="68" w:line="228" w:lineRule="exact"/>
              <w:ind w:left="36"/>
              <w:jc w:val="center"/>
              <w:rPr>
                <w:rFonts w:cs="Times New Roman"/>
                <w:sz w:val="20"/>
                <w:szCs w:val="20"/>
              </w:rPr>
            </w:pPr>
            <w:r w:rsidRPr="00575C4B">
              <w:rPr>
                <w:rFonts w:cs="Times New Roman"/>
                <w:w w:val="108"/>
                <w:sz w:val="20"/>
                <w:szCs w:val="20"/>
              </w:rPr>
              <w:t>3</w:t>
            </w:r>
          </w:p>
        </w:tc>
      </w:tr>
      <w:tr w:rsidR="00271040" w14:paraId="51EC5746" w14:textId="77777777" w:rsidTr="00F30662">
        <w:trPr>
          <w:trHeight w:val="327"/>
        </w:trPr>
        <w:tc>
          <w:tcPr>
            <w:tcW w:w="4159" w:type="dxa"/>
            <w:tcBorders>
              <w:bottom w:val="nil"/>
            </w:tcBorders>
          </w:tcPr>
          <w:p w14:paraId="72595DFB" w14:textId="77777777" w:rsidR="003101CC" w:rsidRPr="00575C4B" w:rsidRDefault="00206481" w:rsidP="001F1765">
            <w:pPr>
              <w:pStyle w:val="TableParagraph"/>
              <w:spacing w:before="72"/>
              <w:ind w:left="106"/>
              <w:rPr>
                <w:rFonts w:cs="Times New Roman"/>
                <w:sz w:val="20"/>
                <w:szCs w:val="20"/>
              </w:rPr>
            </w:pPr>
            <w:r w:rsidRPr="00575C4B">
              <w:rPr>
                <w:rFonts w:cs="Times New Roman"/>
                <w:w w:val="110"/>
                <w:sz w:val="20"/>
                <w:szCs w:val="20"/>
              </w:rPr>
              <w:t>Estimating building cost</w:t>
            </w:r>
          </w:p>
        </w:tc>
        <w:tc>
          <w:tcPr>
            <w:tcW w:w="1745" w:type="dxa"/>
            <w:tcBorders>
              <w:bottom w:val="nil"/>
              <w:right w:val="single" w:sz="4" w:space="0" w:color="auto"/>
            </w:tcBorders>
          </w:tcPr>
          <w:p w14:paraId="69774B1C" w14:textId="77777777" w:rsidR="003101CC" w:rsidRPr="00575C4B" w:rsidRDefault="00206481" w:rsidP="001F1765">
            <w:pPr>
              <w:pStyle w:val="TableParagraph"/>
              <w:spacing w:before="67" w:line="240" w:lineRule="exact"/>
              <w:ind w:right="8"/>
              <w:jc w:val="center"/>
              <w:rPr>
                <w:rFonts w:cs="Times New Roman"/>
                <w:sz w:val="20"/>
                <w:szCs w:val="20"/>
              </w:rPr>
            </w:pPr>
            <w:r w:rsidRPr="00575C4B">
              <w:rPr>
                <w:rFonts w:cs="Times New Roman"/>
                <w:w w:val="96"/>
                <w:sz w:val="20"/>
                <w:szCs w:val="20"/>
              </w:rPr>
              <w:t>5</w:t>
            </w:r>
          </w:p>
        </w:tc>
        <w:tc>
          <w:tcPr>
            <w:tcW w:w="1702" w:type="dxa"/>
            <w:tcBorders>
              <w:left w:val="single" w:sz="4" w:space="0" w:color="auto"/>
              <w:bottom w:val="nil"/>
            </w:tcBorders>
          </w:tcPr>
          <w:p w14:paraId="208964CA" w14:textId="77777777" w:rsidR="003101CC" w:rsidRPr="00575C4B" w:rsidRDefault="00206481" w:rsidP="001F1765">
            <w:pPr>
              <w:pStyle w:val="TableParagraph"/>
              <w:spacing w:before="67" w:line="240" w:lineRule="exact"/>
              <w:ind w:left="52"/>
              <w:jc w:val="center"/>
              <w:rPr>
                <w:rFonts w:cs="Times New Roman"/>
                <w:sz w:val="20"/>
                <w:szCs w:val="20"/>
              </w:rPr>
            </w:pPr>
            <w:r w:rsidRPr="00575C4B">
              <w:rPr>
                <w:rFonts w:cs="Times New Roman"/>
                <w:w w:val="96"/>
                <w:sz w:val="20"/>
                <w:szCs w:val="20"/>
              </w:rPr>
              <w:t>5</w:t>
            </w:r>
          </w:p>
        </w:tc>
      </w:tr>
      <w:tr w:rsidR="00271040" w14:paraId="58008299" w14:textId="77777777" w:rsidTr="00F30662">
        <w:trPr>
          <w:trHeight w:val="264"/>
        </w:trPr>
        <w:tc>
          <w:tcPr>
            <w:tcW w:w="4159" w:type="dxa"/>
            <w:tcBorders>
              <w:top w:val="nil"/>
              <w:bottom w:val="nil"/>
            </w:tcBorders>
          </w:tcPr>
          <w:p w14:paraId="72DCF39D" w14:textId="77777777" w:rsidR="003101CC" w:rsidRPr="00575C4B" w:rsidRDefault="00206481" w:rsidP="001F1765">
            <w:pPr>
              <w:pStyle w:val="TableParagraph"/>
              <w:spacing w:before="9"/>
              <w:ind w:left="102"/>
              <w:rPr>
                <w:rFonts w:cs="Times New Roman"/>
                <w:sz w:val="20"/>
                <w:szCs w:val="20"/>
              </w:rPr>
            </w:pPr>
            <w:r w:rsidRPr="00575C4B">
              <w:rPr>
                <w:rFonts w:cs="Times New Roman"/>
                <w:w w:val="105"/>
                <w:sz w:val="20"/>
                <w:szCs w:val="20"/>
              </w:rPr>
              <w:t>Construction cash flow budgets</w:t>
            </w:r>
          </w:p>
        </w:tc>
        <w:tc>
          <w:tcPr>
            <w:tcW w:w="1745" w:type="dxa"/>
            <w:tcBorders>
              <w:top w:val="nil"/>
              <w:bottom w:val="nil"/>
              <w:right w:val="single" w:sz="4" w:space="0" w:color="auto"/>
            </w:tcBorders>
          </w:tcPr>
          <w:p w14:paraId="217AD06A" w14:textId="77777777" w:rsidR="003101CC" w:rsidRPr="00575C4B" w:rsidRDefault="00206481" w:rsidP="001F1765">
            <w:pPr>
              <w:pStyle w:val="TableParagraph"/>
              <w:spacing w:line="244" w:lineRule="exact"/>
              <w:ind w:left="673" w:right="699"/>
              <w:jc w:val="center"/>
              <w:rPr>
                <w:rFonts w:cs="Times New Roman"/>
                <w:sz w:val="20"/>
                <w:szCs w:val="20"/>
              </w:rPr>
            </w:pPr>
            <w:r w:rsidRPr="00575C4B">
              <w:rPr>
                <w:rFonts w:cs="Times New Roman"/>
                <w:w w:val="75"/>
                <w:sz w:val="20"/>
                <w:szCs w:val="20"/>
              </w:rPr>
              <w:t>2,5</w:t>
            </w:r>
          </w:p>
        </w:tc>
        <w:tc>
          <w:tcPr>
            <w:tcW w:w="1702" w:type="dxa"/>
            <w:tcBorders>
              <w:top w:val="nil"/>
              <w:left w:val="single" w:sz="4" w:space="0" w:color="auto"/>
              <w:bottom w:val="nil"/>
            </w:tcBorders>
          </w:tcPr>
          <w:p w14:paraId="7F9A2814" w14:textId="77777777" w:rsidR="003101CC" w:rsidRPr="00575C4B" w:rsidRDefault="00206481" w:rsidP="001F1765">
            <w:pPr>
              <w:pStyle w:val="TableParagraph"/>
              <w:spacing w:line="244" w:lineRule="exact"/>
              <w:ind w:left="683" w:right="648"/>
              <w:jc w:val="center"/>
              <w:rPr>
                <w:rFonts w:cs="Times New Roman"/>
                <w:sz w:val="20"/>
                <w:szCs w:val="20"/>
              </w:rPr>
            </w:pPr>
            <w:r w:rsidRPr="00575C4B">
              <w:rPr>
                <w:rFonts w:cs="Times New Roman"/>
                <w:w w:val="75"/>
                <w:sz w:val="20"/>
                <w:szCs w:val="20"/>
              </w:rPr>
              <w:t>2,5</w:t>
            </w:r>
          </w:p>
        </w:tc>
      </w:tr>
      <w:tr w:rsidR="00271040" w14:paraId="72062116" w14:textId="77777777" w:rsidTr="00F30662">
        <w:trPr>
          <w:trHeight w:val="266"/>
        </w:trPr>
        <w:tc>
          <w:tcPr>
            <w:tcW w:w="4159" w:type="dxa"/>
            <w:tcBorders>
              <w:top w:val="nil"/>
              <w:bottom w:val="nil"/>
            </w:tcBorders>
          </w:tcPr>
          <w:p w14:paraId="269F00D3" w14:textId="77777777" w:rsidR="003101CC" w:rsidRPr="00575C4B" w:rsidRDefault="00206481" w:rsidP="001F1765">
            <w:pPr>
              <w:pStyle w:val="TableParagraph"/>
              <w:spacing w:before="9"/>
              <w:ind w:left="106"/>
              <w:rPr>
                <w:rFonts w:cs="Times New Roman"/>
                <w:sz w:val="20"/>
                <w:szCs w:val="20"/>
              </w:rPr>
            </w:pPr>
            <w:r w:rsidRPr="00575C4B">
              <w:rPr>
                <w:rFonts w:cs="Times New Roman"/>
                <w:w w:val="110"/>
                <w:sz w:val="20"/>
                <w:szCs w:val="20"/>
              </w:rPr>
              <w:t>Design criteria advice</w:t>
            </w:r>
          </w:p>
        </w:tc>
        <w:tc>
          <w:tcPr>
            <w:tcW w:w="1745" w:type="dxa"/>
            <w:tcBorders>
              <w:top w:val="nil"/>
              <w:bottom w:val="nil"/>
              <w:right w:val="single" w:sz="4" w:space="0" w:color="auto"/>
            </w:tcBorders>
          </w:tcPr>
          <w:p w14:paraId="3CEF5EF1" w14:textId="77777777" w:rsidR="003101CC" w:rsidRPr="00575C4B" w:rsidRDefault="00206481" w:rsidP="001F1765">
            <w:pPr>
              <w:pStyle w:val="TableParagraph"/>
              <w:spacing w:before="4" w:line="242" w:lineRule="exact"/>
              <w:ind w:right="13"/>
              <w:jc w:val="center"/>
              <w:rPr>
                <w:rFonts w:cs="Times New Roman"/>
                <w:sz w:val="20"/>
                <w:szCs w:val="20"/>
              </w:rPr>
            </w:pPr>
            <w:r w:rsidRPr="00575C4B">
              <w:rPr>
                <w:rFonts w:cs="Times New Roman"/>
                <w:w w:val="96"/>
                <w:sz w:val="20"/>
                <w:szCs w:val="20"/>
              </w:rPr>
              <w:t>5</w:t>
            </w:r>
          </w:p>
        </w:tc>
        <w:tc>
          <w:tcPr>
            <w:tcW w:w="1702" w:type="dxa"/>
            <w:tcBorders>
              <w:top w:val="nil"/>
              <w:left w:val="single" w:sz="4" w:space="0" w:color="auto"/>
              <w:bottom w:val="nil"/>
            </w:tcBorders>
          </w:tcPr>
          <w:p w14:paraId="461A178C" w14:textId="77777777" w:rsidR="003101CC" w:rsidRPr="00575C4B" w:rsidRDefault="00206481" w:rsidP="001F1765">
            <w:pPr>
              <w:pStyle w:val="TableParagraph"/>
              <w:spacing w:before="4" w:line="242" w:lineRule="exact"/>
              <w:ind w:left="57"/>
              <w:jc w:val="center"/>
              <w:rPr>
                <w:rFonts w:cs="Times New Roman"/>
                <w:sz w:val="20"/>
                <w:szCs w:val="20"/>
              </w:rPr>
            </w:pPr>
            <w:r w:rsidRPr="00575C4B">
              <w:rPr>
                <w:rFonts w:cs="Times New Roman"/>
                <w:w w:val="96"/>
                <w:sz w:val="20"/>
                <w:szCs w:val="20"/>
              </w:rPr>
              <w:t>5</w:t>
            </w:r>
          </w:p>
        </w:tc>
      </w:tr>
      <w:tr w:rsidR="00271040" w14:paraId="2E3781A5" w14:textId="77777777" w:rsidTr="00F30662">
        <w:trPr>
          <w:trHeight w:val="264"/>
        </w:trPr>
        <w:tc>
          <w:tcPr>
            <w:tcW w:w="4159" w:type="dxa"/>
            <w:tcBorders>
              <w:top w:val="nil"/>
              <w:bottom w:val="nil"/>
            </w:tcBorders>
          </w:tcPr>
          <w:p w14:paraId="703030EA" w14:textId="77777777" w:rsidR="003101CC" w:rsidRPr="00575C4B" w:rsidRDefault="00206481" w:rsidP="001F1765">
            <w:pPr>
              <w:pStyle w:val="TableParagraph"/>
              <w:spacing w:before="2"/>
              <w:ind w:left="107"/>
              <w:rPr>
                <w:rFonts w:cs="Times New Roman"/>
                <w:sz w:val="20"/>
                <w:szCs w:val="20"/>
              </w:rPr>
            </w:pPr>
            <w:r w:rsidRPr="00575C4B">
              <w:rPr>
                <w:rFonts w:cs="Times New Roman"/>
                <w:w w:val="105"/>
                <w:sz w:val="20"/>
                <w:szCs w:val="20"/>
              </w:rPr>
              <w:t>Preparation of procurement documentation</w:t>
            </w:r>
          </w:p>
        </w:tc>
        <w:tc>
          <w:tcPr>
            <w:tcW w:w="1745" w:type="dxa"/>
            <w:tcBorders>
              <w:top w:val="nil"/>
              <w:bottom w:val="nil"/>
              <w:right w:val="single" w:sz="4" w:space="0" w:color="auto"/>
            </w:tcBorders>
          </w:tcPr>
          <w:p w14:paraId="03D17ED1" w14:textId="77777777" w:rsidR="003101CC" w:rsidRPr="00575C4B" w:rsidRDefault="00206481" w:rsidP="001F1765">
            <w:pPr>
              <w:pStyle w:val="TableParagraph"/>
              <w:spacing w:before="2" w:line="242" w:lineRule="exact"/>
              <w:ind w:left="674" w:right="665"/>
              <w:jc w:val="center"/>
              <w:rPr>
                <w:rFonts w:cs="Times New Roman"/>
                <w:sz w:val="20"/>
                <w:szCs w:val="20"/>
              </w:rPr>
            </w:pPr>
            <w:r w:rsidRPr="00575C4B">
              <w:rPr>
                <w:rFonts w:cs="Times New Roman"/>
                <w:sz w:val="20"/>
                <w:szCs w:val="20"/>
              </w:rPr>
              <w:t>30</w:t>
            </w:r>
          </w:p>
        </w:tc>
        <w:tc>
          <w:tcPr>
            <w:tcW w:w="1702" w:type="dxa"/>
            <w:tcBorders>
              <w:top w:val="nil"/>
              <w:left w:val="single" w:sz="4" w:space="0" w:color="auto"/>
              <w:bottom w:val="nil"/>
            </w:tcBorders>
          </w:tcPr>
          <w:p w14:paraId="16FACA81" w14:textId="77777777" w:rsidR="003101CC" w:rsidRPr="00575C4B" w:rsidRDefault="00206481" w:rsidP="001F1765">
            <w:pPr>
              <w:pStyle w:val="TableParagraph"/>
              <w:spacing w:before="2" w:line="242" w:lineRule="exact"/>
              <w:ind w:left="683" w:right="623"/>
              <w:jc w:val="center"/>
              <w:rPr>
                <w:rFonts w:cs="Times New Roman"/>
                <w:sz w:val="20"/>
                <w:szCs w:val="20"/>
              </w:rPr>
            </w:pPr>
            <w:r w:rsidRPr="00575C4B">
              <w:rPr>
                <w:rFonts w:cs="Times New Roman"/>
                <w:w w:val="90"/>
                <w:sz w:val="20"/>
                <w:szCs w:val="20"/>
              </w:rPr>
              <w:t>15</w:t>
            </w:r>
          </w:p>
        </w:tc>
      </w:tr>
      <w:tr w:rsidR="00271040" w14:paraId="5320C47B" w14:textId="77777777" w:rsidTr="00F30662">
        <w:trPr>
          <w:trHeight w:val="264"/>
        </w:trPr>
        <w:tc>
          <w:tcPr>
            <w:tcW w:w="4159" w:type="dxa"/>
            <w:tcBorders>
              <w:top w:val="nil"/>
              <w:bottom w:val="nil"/>
            </w:tcBorders>
          </w:tcPr>
          <w:p w14:paraId="2275550F" w14:textId="77777777" w:rsidR="003101CC" w:rsidRPr="00575C4B" w:rsidRDefault="00206481" w:rsidP="001F1765">
            <w:pPr>
              <w:pStyle w:val="TableParagraph"/>
              <w:spacing w:before="6"/>
              <w:ind w:left="111"/>
              <w:rPr>
                <w:rFonts w:cs="Times New Roman"/>
                <w:sz w:val="20"/>
                <w:szCs w:val="20"/>
              </w:rPr>
            </w:pPr>
            <w:r w:rsidRPr="00575C4B">
              <w:rPr>
                <w:rFonts w:cs="Times New Roman"/>
                <w:w w:val="105"/>
                <w:sz w:val="20"/>
                <w:szCs w:val="20"/>
              </w:rPr>
              <w:t>Preparation of schedule of rates</w:t>
            </w:r>
          </w:p>
        </w:tc>
        <w:tc>
          <w:tcPr>
            <w:tcW w:w="1745" w:type="dxa"/>
            <w:tcBorders>
              <w:top w:val="nil"/>
              <w:bottom w:val="nil"/>
              <w:right w:val="single" w:sz="4" w:space="0" w:color="auto"/>
            </w:tcBorders>
          </w:tcPr>
          <w:p w14:paraId="0A4CEA2F" w14:textId="77777777" w:rsidR="003101CC" w:rsidRPr="00575C4B" w:rsidRDefault="00206481" w:rsidP="001F1765">
            <w:pPr>
              <w:pStyle w:val="TableParagraph"/>
              <w:spacing w:line="238" w:lineRule="exact"/>
              <w:ind w:left="4"/>
              <w:jc w:val="center"/>
              <w:rPr>
                <w:rFonts w:cs="Times New Roman"/>
                <w:sz w:val="20"/>
                <w:szCs w:val="20"/>
              </w:rPr>
            </w:pPr>
            <w:r w:rsidRPr="00575C4B">
              <w:rPr>
                <w:rFonts w:cs="Times New Roman"/>
                <w:w w:val="99"/>
                <w:sz w:val="20"/>
                <w:szCs w:val="20"/>
              </w:rPr>
              <w:t>-</w:t>
            </w:r>
          </w:p>
        </w:tc>
        <w:tc>
          <w:tcPr>
            <w:tcW w:w="1702" w:type="dxa"/>
            <w:tcBorders>
              <w:top w:val="nil"/>
              <w:left w:val="single" w:sz="4" w:space="0" w:color="auto"/>
              <w:bottom w:val="nil"/>
            </w:tcBorders>
          </w:tcPr>
          <w:p w14:paraId="43C0B65C" w14:textId="77777777" w:rsidR="003101CC" w:rsidRPr="00575C4B" w:rsidRDefault="00206481" w:rsidP="001F1765">
            <w:pPr>
              <w:pStyle w:val="TableParagraph"/>
              <w:spacing w:before="2" w:line="242" w:lineRule="exact"/>
              <w:ind w:left="683" w:right="601"/>
              <w:jc w:val="center"/>
              <w:rPr>
                <w:rFonts w:cs="Times New Roman"/>
                <w:sz w:val="20"/>
                <w:szCs w:val="20"/>
              </w:rPr>
            </w:pPr>
            <w:r w:rsidRPr="00575C4B">
              <w:rPr>
                <w:rFonts w:cs="Times New Roman"/>
                <w:w w:val="95"/>
                <w:sz w:val="20"/>
                <w:szCs w:val="20"/>
              </w:rPr>
              <w:t>10</w:t>
            </w:r>
          </w:p>
        </w:tc>
      </w:tr>
      <w:tr w:rsidR="00271040" w14:paraId="5AB83843" w14:textId="77777777" w:rsidTr="00F30662">
        <w:trPr>
          <w:trHeight w:val="264"/>
        </w:trPr>
        <w:tc>
          <w:tcPr>
            <w:tcW w:w="4159" w:type="dxa"/>
            <w:tcBorders>
              <w:top w:val="nil"/>
              <w:bottom w:val="nil"/>
            </w:tcBorders>
          </w:tcPr>
          <w:p w14:paraId="2B1E9374" w14:textId="77777777" w:rsidR="003101CC" w:rsidRPr="00575C4B" w:rsidRDefault="00206481" w:rsidP="001F1765">
            <w:pPr>
              <w:pStyle w:val="TableParagraph"/>
              <w:spacing w:before="6"/>
              <w:ind w:left="107"/>
              <w:rPr>
                <w:rFonts w:cs="Times New Roman"/>
                <w:sz w:val="20"/>
                <w:szCs w:val="20"/>
              </w:rPr>
            </w:pPr>
            <w:r w:rsidRPr="00575C4B">
              <w:rPr>
                <w:rFonts w:cs="Times New Roman"/>
                <w:w w:val="110"/>
                <w:sz w:val="20"/>
                <w:szCs w:val="20"/>
              </w:rPr>
              <w:t>Calling for tenders and evaluating tenders</w:t>
            </w:r>
          </w:p>
        </w:tc>
        <w:tc>
          <w:tcPr>
            <w:tcW w:w="1745" w:type="dxa"/>
            <w:tcBorders>
              <w:top w:val="nil"/>
              <w:bottom w:val="nil"/>
              <w:right w:val="single" w:sz="4" w:space="0" w:color="auto"/>
            </w:tcBorders>
          </w:tcPr>
          <w:p w14:paraId="4F0B8AC7" w14:textId="77777777" w:rsidR="003101CC" w:rsidRPr="00575C4B" w:rsidRDefault="00206481" w:rsidP="001F1765">
            <w:pPr>
              <w:pStyle w:val="TableParagraph"/>
              <w:spacing w:before="2" w:line="242" w:lineRule="exact"/>
              <w:ind w:right="1"/>
              <w:jc w:val="center"/>
              <w:rPr>
                <w:rFonts w:cs="Times New Roman"/>
                <w:sz w:val="20"/>
                <w:szCs w:val="20"/>
              </w:rPr>
            </w:pPr>
            <w:r w:rsidRPr="00575C4B">
              <w:rPr>
                <w:rFonts w:cs="Times New Roman"/>
                <w:w w:val="96"/>
                <w:sz w:val="20"/>
                <w:szCs w:val="20"/>
              </w:rPr>
              <w:t>5</w:t>
            </w:r>
          </w:p>
        </w:tc>
        <w:tc>
          <w:tcPr>
            <w:tcW w:w="1702" w:type="dxa"/>
            <w:tcBorders>
              <w:top w:val="nil"/>
              <w:left w:val="single" w:sz="4" w:space="0" w:color="auto"/>
              <w:bottom w:val="nil"/>
            </w:tcBorders>
          </w:tcPr>
          <w:p w14:paraId="08D7D2A2" w14:textId="77777777" w:rsidR="003101CC" w:rsidRPr="00575C4B" w:rsidRDefault="00206481" w:rsidP="001F1765">
            <w:pPr>
              <w:pStyle w:val="TableParagraph"/>
              <w:spacing w:before="2" w:line="242" w:lineRule="exact"/>
              <w:ind w:left="62"/>
              <w:jc w:val="center"/>
              <w:rPr>
                <w:rFonts w:cs="Times New Roman"/>
                <w:sz w:val="20"/>
                <w:szCs w:val="20"/>
              </w:rPr>
            </w:pPr>
            <w:r w:rsidRPr="00575C4B">
              <w:rPr>
                <w:rFonts w:cs="Times New Roman"/>
                <w:w w:val="96"/>
                <w:sz w:val="20"/>
                <w:szCs w:val="20"/>
              </w:rPr>
              <w:t>5</w:t>
            </w:r>
          </w:p>
        </w:tc>
      </w:tr>
      <w:tr w:rsidR="00271040" w14:paraId="3D9A70DE" w14:textId="77777777" w:rsidTr="00F30662">
        <w:trPr>
          <w:trHeight w:val="264"/>
        </w:trPr>
        <w:tc>
          <w:tcPr>
            <w:tcW w:w="4159" w:type="dxa"/>
            <w:tcBorders>
              <w:top w:val="nil"/>
              <w:bottom w:val="nil"/>
            </w:tcBorders>
          </w:tcPr>
          <w:p w14:paraId="68535102" w14:textId="77777777" w:rsidR="003101CC" w:rsidRPr="00575C4B" w:rsidRDefault="00206481" w:rsidP="001F1765">
            <w:pPr>
              <w:pStyle w:val="TableParagraph"/>
              <w:spacing w:before="6"/>
              <w:ind w:left="107"/>
              <w:rPr>
                <w:rFonts w:cs="Times New Roman"/>
                <w:sz w:val="20"/>
                <w:szCs w:val="20"/>
              </w:rPr>
            </w:pPr>
            <w:r w:rsidRPr="00575C4B">
              <w:rPr>
                <w:rFonts w:cs="Times New Roman"/>
                <w:w w:val="105"/>
                <w:sz w:val="20"/>
                <w:szCs w:val="20"/>
              </w:rPr>
              <w:t>Cost management and reporting</w:t>
            </w:r>
          </w:p>
        </w:tc>
        <w:tc>
          <w:tcPr>
            <w:tcW w:w="1745" w:type="dxa"/>
            <w:tcBorders>
              <w:top w:val="nil"/>
              <w:bottom w:val="nil"/>
              <w:right w:val="single" w:sz="4" w:space="0" w:color="auto"/>
            </w:tcBorders>
          </w:tcPr>
          <w:p w14:paraId="5F579E6E" w14:textId="77777777" w:rsidR="003101CC" w:rsidRPr="00575C4B" w:rsidRDefault="00206481" w:rsidP="001F1765">
            <w:pPr>
              <w:pStyle w:val="TableParagraph"/>
              <w:spacing w:before="2" w:line="242" w:lineRule="exact"/>
              <w:ind w:left="674" w:right="673"/>
              <w:jc w:val="center"/>
              <w:rPr>
                <w:rFonts w:cs="Times New Roman"/>
                <w:sz w:val="20"/>
                <w:szCs w:val="20"/>
              </w:rPr>
            </w:pPr>
            <w:r w:rsidRPr="00575C4B">
              <w:rPr>
                <w:rFonts w:cs="Times New Roman"/>
                <w:w w:val="85"/>
                <w:sz w:val="20"/>
                <w:szCs w:val="20"/>
              </w:rPr>
              <w:t>15</w:t>
            </w:r>
          </w:p>
        </w:tc>
        <w:tc>
          <w:tcPr>
            <w:tcW w:w="1702" w:type="dxa"/>
            <w:tcBorders>
              <w:top w:val="nil"/>
              <w:left w:val="single" w:sz="4" w:space="0" w:color="auto"/>
              <w:bottom w:val="nil"/>
            </w:tcBorders>
          </w:tcPr>
          <w:p w14:paraId="3F65C099" w14:textId="77777777" w:rsidR="003101CC" w:rsidRPr="00575C4B" w:rsidRDefault="00206481" w:rsidP="001F1765">
            <w:pPr>
              <w:pStyle w:val="TableParagraph"/>
              <w:spacing w:before="2" w:line="242" w:lineRule="exact"/>
              <w:ind w:left="683" w:right="613"/>
              <w:jc w:val="center"/>
              <w:rPr>
                <w:rFonts w:cs="Times New Roman"/>
                <w:sz w:val="20"/>
                <w:szCs w:val="20"/>
              </w:rPr>
            </w:pPr>
            <w:r w:rsidRPr="00575C4B">
              <w:rPr>
                <w:rFonts w:cs="Times New Roman"/>
                <w:w w:val="90"/>
                <w:sz w:val="20"/>
                <w:szCs w:val="20"/>
              </w:rPr>
              <w:t>15</w:t>
            </w:r>
          </w:p>
        </w:tc>
      </w:tr>
      <w:tr w:rsidR="00271040" w14:paraId="105C17CE" w14:textId="77777777" w:rsidTr="00F30662">
        <w:trPr>
          <w:trHeight w:val="270"/>
        </w:trPr>
        <w:tc>
          <w:tcPr>
            <w:tcW w:w="4159" w:type="dxa"/>
            <w:tcBorders>
              <w:top w:val="nil"/>
              <w:bottom w:val="nil"/>
            </w:tcBorders>
          </w:tcPr>
          <w:p w14:paraId="68E8D2D5" w14:textId="77777777" w:rsidR="003101CC" w:rsidRPr="00575C4B" w:rsidRDefault="00206481" w:rsidP="001F1765">
            <w:pPr>
              <w:pStyle w:val="TableParagraph"/>
              <w:spacing w:before="6"/>
              <w:ind w:left="107"/>
              <w:rPr>
                <w:rFonts w:cs="Times New Roman"/>
                <w:sz w:val="20"/>
                <w:szCs w:val="20"/>
              </w:rPr>
            </w:pPr>
            <w:r w:rsidRPr="00575C4B">
              <w:rPr>
                <w:rFonts w:cs="Times New Roman"/>
                <w:w w:val="105"/>
                <w:sz w:val="20"/>
                <w:szCs w:val="20"/>
              </w:rPr>
              <w:t>Preparation of payment certificates</w:t>
            </w:r>
          </w:p>
        </w:tc>
        <w:tc>
          <w:tcPr>
            <w:tcW w:w="1745" w:type="dxa"/>
            <w:tcBorders>
              <w:top w:val="nil"/>
              <w:bottom w:val="nil"/>
              <w:right w:val="single" w:sz="4" w:space="0" w:color="auto"/>
            </w:tcBorders>
          </w:tcPr>
          <w:p w14:paraId="46ED1B95" w14:textId="77777777" w:rsidR="003101CC" w:rsidRPr="00575C4B" w:rsidRDefault="00206481" w:rsidP="001F1765">
            <w:pPr>
              <w:pStyle w:val="TableParagraph"/>
              <w:spacing w:before="2" w:line="249" w:lineRule="exact"/>
              <w:ind w:left="281" w:right="277"/>
              <w:jc w:val="center"/>
              <w:rPr>
                <w:rFonts w:cs="Times New Roman"/>
                <w:sz w:val="20"/>
                <w:szCs w:val="20"/>
              </w:rPr>
            </w:pPr>
            <w:r w:rsidRPr="00575C4B">
              <w:rPr>
                <w:rFonts w:cs="Times New Roman"/>
                <w:sz w:val="20"/>
                <w:szCs w:val="20"/>
              </w:rPr>
              <w:t>30</w:t>
            </w:r>
          </w:p>
        </w:tc>
        <w:tc>
          <w:tcPr>
            <w:tcW w:w="1702" w:type="dxa"/>
            <w:tcBorders>
              <w:top w:val="nil"/>
              <w:left w:val="single" w:sz="4" w:space="0" w:color="auto"/>
              <w:bottom w:val="nil"/>
            </w:tcBorders>
          </w:tcPr>
          <w:p w14:paraId="1147F3AE" w14:textId="77777777" w:rsidR="003101CC" w:rsidRPr="00575C4B" w:rsidRDefault="00206481" w:rsidP="001F1765">
            <w:pPr>
              <w:pStyle w:val="TableParagraph"/>
              <w:spacing w:before="2" w:line="249" w:lineRule="exact"/>
              <w:ind w:left="645" w:right="582"/>
              <w:jc w:val="center"/>
              <w:rPr>
                <w:rFonts w:cs="Times New Roman"/>
                <w:sz w:val="20"/>
                <w:szCs w:val="20"/>
              </w:rPr>
            </w:pPr>
            <w:r w:rsidRPr="00575C4B">
              <w:rPr>
                <w:rFonts w:cs="Times New Roman"/>
                <w:w w:val="95"/>
                <w:sz w:val="20"/>
                <w:szCs w:val="20"/>
              </w:rPr>
              <w:t>35</w:t>
            </w:r>
          </w:p>
        </w:tc>
      </w:tr>
      <w:tr w:rsidR="00271040" w14:paraId="11CEDE47" w14:textId="77777777" w:rsidTr="00F30662">
        <w:trPr>
          <w:trHeight w:val="242"/>
        </w:trPr>
        <w:tc>
          <w:tcPr>
            <w:tcW w:w="4159" w:type="dxa"/>
            <w:tcBorders>
              <w:top w:val="nil"/>
              <w:bottom w:val="nil"/>
            </w:tcBorders>
          </w:tcPr>
          <w:p w14:paraId="3809F927" w14:textId="77777777" w:rsidR="003101CC" w:rsidRPr="00575C4B" w:rsidRDefault="00206481" w:rsidP="001F1765">
            <w:pPr>
              <w:pStyle w:val="TableParagraph"/>
              <w:spacing w:line="222" w:lineRule="exact"/>
              <w:ind w:left="112"/>
              <w:rPr>
                <w:rFonts w:cs="Times New Roman"/>
                <w:sz w:val="20"/>
                <w:szCs w:val="20"/>
              </w:rPr>
            </w:pPr>
            <w:r w:rsidRPr="00575C4B">
              <w:rPr>
                <w:rFonts w:cs="Times New Roman"/>
                <w:w w:val="110"/>
                <w:sz w:val="20"/>
                <w:szCs w:val="20"/>
              </w:rPr>
              <w:t>Settling contractual and financial disputes</w:t>
            </w:r>
          </w:p>
        </w:tc>
        <w:tc>
          <w:tcPr>
            <w:tcW w:w="1745" w:type="dxa"/>
            <w:tcBorders>
              <w:top w:val="nil"/>
              <w:bottom w:val="nil"/>
              <w:right w:val="single" w:sz="4" w:space="0" w:color="auto"/>
            </w:tcBorders>
          </w:tcPr>
          <w:p w14:paraId="71A8134C" w14:textId="77777777" w:rsidR="003101CC" w:rsidRPr="00575C4B" w:rsidRDefault="00206481" w:rsidP="001F1765">
            <w:pPr>
              <w:pStyle w:val="TableParagraph"/>
              <w:spacing w:line="222" w:lineRule="exact"/>
              <w:ind w:left="288" w:right="277"/>
              <w:jc w:val="center"/>
              <w:rPr>
                <w:rFonts w:cs="Times New Roman"/>
                <w:sz w:val="20"/>
                <w:szCs w:val="20"/>
              </w:rPr>
            </w:pPr>
            <w:r w:rsidRPr="00575C4B">
              <w:rPr>
                <w:rFonts w:cs="Times New Roman"/>
                <w:w w:val="110"/>
                <w:sz w:val="20"/>
                <w:szCs w:val="20"/>
              </w:rPr>
              <w:t>Time charge</w:t>
            </w:r>
          </w:p>
        </w:tc>
        <w:tc>
          <w:tcPr>
            <w:tcW w:w="1702" w:type="dxa"/>
            <w:tcBorders>
              <w:top w:val="nil"/>
              <w:left w:val="single" w:sz="4" w:space="0" w:color="auto"/>
              <w:bottom w:val="nil"/>
            </w:tcBorders>
          </w:tcPr>
          <w:p w14:paraId="57F94B69" w14:textId="77777777" w:rsidR="003101CC" w:rsidRPr="00575C4B" w:rsidRDefault="00206481" w:rsidP="001F1765">
            <w:pPr>
              <w:pStyle w:val="TableParagraph"/>
              <w:spacing w:line="222" w:lineRule="exact"/>
              <w:ind w:right="254"/>
              <w:jc w:val="right"/>
              <w:rPr>
                <w:rFonts w:cs="Times New Roman"/>
                <w:sz w:val="20"/>
                <w:szCs w:val="20"/>
              </w:rPr>
            </w:pPr>
            <w:r w:rsidRPr="00575C4B">
              <w:rPr>
                <w:rFonts w:cs="Times New Roman"/>
                <w:w w:val="110"/>
                <w:sz w:val="20"/>
                <w:szCs w:val="20"/>
              </w:rPr>
              <w:t>Time charge</w:t>
            </w:r>
          </w:p>
        </w:tc>
      </w:tr>
      <w:tr w:rsidR="00271040" w14:paraId="5549E630" w14:textId="77777777" w:rsidTr="00F30662">
        <w:trPr>
          <w:trHeight w:val="279"/>
        </w:trPr>
        <w:tc>
          <w:tcPr>
            <w:tcW w:w="4159" w:type="dxa"/>
            <w:tcBorders>
              <w:top w:val="nil"/>
              <w:bottom w:val="nil"/>
            </w:tcBorders>
          </w:tcPr>
          <w:p w14:paraId="4832092F" w14:textId="77777777" w:rsidR="003101CC" w:rsidRPr="00575C4B" w:rsidRDefault="00206481" w:rsidP="001F1765">
            <w:pPr>
              <w:pStyle w:val="TableParagraph"/>
              <w:spacing w:before="17"/>
              <w:ind w:left="112"/>
              <w:rPr>
                <w:rFonts w:cs="Times New Roman"/>
                <w:sz w:val="20"/>
                <w:szCs w:val="20"/>
              </w:rPr>
            </w:pPr>
            <w:r w:rsidRPr="00575C4B">
              <w:rPr>
                <w:rFonts w:cs="Times New Roman"/>
                <w:w w:val="105"/>
                <w:sz w:val="20"/>
                <w:szCs w:val="20"/>
              </w:rPr>
              <w:t>Compilation and settlement of final account</w:t>
            </w:r>
          </w:p>
        </w:tc>
        <w:tc>
          <w:tcPr>
            <w:tcW w:w="1745" w:type="dxa"/>
            <w:tcBorders>
              <w:top w:val="nil"/>
              <w:bottom w:val="nil"/>
              <w:right w:val="single" w:sz="4" w:space="0" w:color="auto"/>
            </w:tcBorders>
          </w:tcPr>
          <w:p w14:paraId="42971D2D" w14:textId="77777777" w:rsidR="003101CC" w:rsidRPr="00575C4B" w:rsidRDefault="00206481" w:rsidP="001F1765">
            <w:pPr>
              <w:pStyle w:val="TableParagraph"/>
              <w:spacing w:before="12" w:line="247" w:lineRule="exact"/>
              <w:ind w:left="283" w:right="277"/>
              <w:jc w:val="center"/>
              <w:rPr>
                <w:rFonts w:cs="Times New Roman"/>
                <w:sz w:val="20"/>
                <w:szCs w:val="20"/>
              </w:rPr>
            </w:pPr>
            <w:r w:rsidRPr="00575C4B">
              <w:rPr>
                <w:rFonts w:cs="Times New Roman"/>
                <w:w w:val="85"/>
                <w:sz w:val="20"/>
                <w:szCs w:val="20"/>
              </w:rPr>
              <w:t>15</w:t>
            </w:r>
          </w:p>
        </w:tc>
        <w:tc>
          <w:tcPr>
            <w:tcW w:w="1702" w:type="dxa"/>
            <w:tcBorders>
              <w:top w:val="nil"/>
              <w:left w:val="single" w:sz="4" w:space="0" w:color="auto"/>
              <w:bottom w:val="nil"/>
            </w:tcBorders>
          </w:tcPr>
          <w:p w14:paraId="3A471DAA" w14:textId="77777777" w:rsidR="003101CC" w:rsidRPr="00575C4B" w:rsidRDefault="00206481" w:rsidP="001F1765">
            <w:pPr>
              <w:pStyle w:val="TableParagraph"/>
              <w:spacing w:before="12" w:line="247" w:lineRule="exact"/>
              <w:ind w:left="680" w:right="582"/>
              <w:jc w:val="center"/>
              <w:rPr>
                <w:rFonts w:cs="Times New Roman"/>
                <w:sz w:val="20"/>
                <w:szCs w:val="20"/>
              </w:rPr>
            </w:pPr>
            <w:r w:rsidRPr="00575C4B">
              <w:rPr>
                <w:rFonts w:cs="Times New Roman"/>
                <w:w w:val="95"/>
                <w:sz w:val="20"/>
                <w:szCs w:val="20"/>
              </w:rPr>
              <w:t>10</w:t>
            </w:r>
          </w:p>
        </w:tc>
      </w:tr>
      <w:tr w:rsidR="00271040" w14:paraId="016EA5D8" w14:textId="77777777" w:rsidTr="00F30662">
        <w:trPr>
          <w:trHeight w:val="269"/>
        </w:trPr>
        <w:tc>
          <w:tcPr>
            <w:tcW w:w="4159" w:type="dxa"/>
            <w:tcBorders>
              <w:top w:val="nil"/>
              <w:bottom w:val="nil"/>
            </w:tcBorders>
          </w:tcPr>
          <w:p w14:paraId="0F109AB4" w14:textId="77777777" w:rsidR="003101CC" w:rsidRPr="00575C4B" w:rsidRDefault="00206481" w:rsidP="001F1765">
            <w:pPr>
              <w:pStyle w:val="TableParagraph"/>
              <w:spacing w:before="11"/>
              <w:ind w:left="112"/>
              <w:rPr>
                <w:rFonts w:cs="Times New Roman"/>
                <w:sz w:val="20"/>
                <w:szCs w:val="20"/>
              </w:rPr>
            </w:pPr>
            <w:r w:rsidRPr="00575C4B">
              <w:rPr>
                <w:rFonts w:cs="Times New Roman"/>
                <w:w w:val="110"/>
                <w:sz w:val="20"/>
                <w:szCs w:val="20"/>
              </w:rPr>
              <w:t>Quality inspection</w:t>
            </w:r>
          </w:p>
        </w:tc>
        <w:tc>
          <w:tcPr>
            <w:tcW w:w="1745" w:type="dxa"/>
            <w:tcBorders>
              <w:top w:val="nil"/>
              <w:bottom w:val="nil"/>
              <w:right w:val="single" w:sz="4" w:space="0" w:color="auto"/>
            </w:tcBorders>
          </w:tcPr>
          <w:p w14:paraId="0B0BA803" w14:textId="77777777" w:rsidR="003101CC" w:rsidRPr="00575C4B" w:rsidRDefault="00206481" w:rsidP="001F1765">
            <w:pPr>
              <w:pStyle w:val="TableParagraph"/>
              <w:spacing w:before="6" w:line="242" w:lineRule="exact"/>
              <w:ind w:left="274" w:right="277"/>
              <w:jc w:val="center"/>
              <w:rPr>
                <w:rFonts w:cs="Times New Roman"/>
                <w:sz w:val="20"/>
                <w:szCs w:val="20"/>
              </w:rPr>
            </w:pPr>
            <w:r w:rsidRPr="00575C4B">
              <w:rPr>
                <w:rFonts w:cs="Times New Roman"/>
                <w:sz w:val="20"/>
                <w:szCs w:val="20"/>
              </w:rPr>
              <w:t>45</w:t>
            </w:r>
          </w:p>
        </w:tc>
        <w:tc>
          <w:tcPr>
            <w:tcW w:w="1702" w:type="dxa"/>
            <w:tcBorders>
              <w:top w:val="nil"/>
              <w:left w:val="single" w:sz="4" w:space="0" w:color="auto"/>
              <w:bottom w:val="nil"/>
            </w:tcBorders>
          </w:tcPr>
          <w:p w14:paraId="59392C8B" w14:textId="77777777" w:rsidR="003101CC" w:rsidRPr="00575C4B" w:rsidRDefault="00206481" w:rsidP="001F1765">
            <w:pPr>
              <w:pStyle w:val="TableParagraph"/>
              <w:spacing w:before="6" w:line="242" w:lineRule="exact"/>
              <w:ind w:left="649" w:right="582"/>
              <w:jc w:val="center"/>
              <w:rPr>
                <w:rFonts w:cs="Times New Roman"/>
                <w:sz w:val="20"/>
                <w:szCs w:val="20"/>
              </w:rPr>
            </w:pPr>
            <w:r w:rsidRPr="00575C4B">
              <w:rPr>
                <w:rFonts w:cs="Times New Roman"/>
                <w:sz w:val="20"/>
                <w:szCs w:val="20"/>
              </w:rPr>
              <w:t>45</w:t>
            </w:r>
          </w:p>
        </w:tc>
      </w:tr>
      <w:tr w:rsidR="00271040" w14:paraId="4BFCBAEB" w14:textId="77777777" w:rsidTr="00F30662">
        <w:trPr>
          <w:trHeight w:val="264"/>
        </w:trPr>
        <w:tc>
          <w:tcPr>
            <w:tcW w:w="4159" w:type="dxa"/>
            <w:tcBorders>
              <w:top w:val="nil"/>
              <w:bottom w:val="nil"/>
            </w:tcBorders>
          </w:tcPr>
          <w:p w14:paraId="0CDCFEAD" w14:textId="77777777" w:rsidR="003101CC" w:rsidRPr="00575C4B" w:rsidRDefault="00206481" w:rsidP="001F1765">
            <w:pPr>
              <w:pStyle w:val="TableParagraph"/>
              <w:spacing w:line="239" w:lineRule="exact"/>
              <w:ind w:left="118"/>
              <w:rPr>
                <w:rFonts w:cs="Times New Roman"/>
                <w:b/>
                <w:sz w:val="20"/>
                <w:szCs w:val="20"/>
              </w:rPr>
            </w:pPr>
            <w:r w:rsidRPr="00575C4B">
              <w:rPr>
                <w:rFonts w:cs="Times New Roman"/>
                <w:w w:val="105"/>
                <w:sz w:val="20"/>
                <w:szCs w:val="20"/>
              </w:rPr>
              <w:t xml:space="preserve">Acting as </w:t>
            </w:r>
            <w:r w:rsidRPr="00575C4B">
              <w:rPr>
                <w:rFonts w:cs="Times New Roman"/>
                <w:b/>
                <w:w w:val="105"/>
                <w:sz w:val="20"/>
                <w:szCs w:val="20"/>
              </w:rPr>
              <w:t>project manager</w:t>
            </w:r>
          </w:p>
        </w:tc>
        <w:tc>
          <w:tcPr>
            <w:tcW w:w="1745" w:type="dxa"/>
            <w:tcBorders>
              <w:top w:val="nil"/>
              <w:bottom w:val="nil"/>
              <w:right w:val="single" w:sz="4" w:space="0" w:color="auto"/>
            </w:tcBorders>
          </w:tcPr>
          <w:p w14:paraId="1522F6F6" w14:textId="77777777" w:rsidR="003101CC" w:rsidRPr="00575C4B" w:rsidRDefault="00206481" w:rsidP="001F1765">
            <w:pPr>
              <w:pStyle w:val="TableParagraph"/>
              <w:spacing w:before="2" w:line="242" w:lineRule="exact"/>
              <w:ind w:left="274" w:right="277"/>
              <w:jc w:val="center"/>
              <w:rPr>
                <w:rFonts w:cs="Times New Roman"/>
                <w:sz w:val="20"/>
                <w:szCs w:val="20"/>
              </w:rPr>
            </w:pPr>
            <w:r w:rsidRPr="00575C4B">
              <w:rPr>
                <w:rFonts w:cs="Times New Roman"/>
                <w:sz w:val="20"/>
                <w:szCs w:val="20"/>
              </w:rPr>
              <w:t>45</w:t>
            </w:r>
          </w:p>
        </w:tc>
        <w:tc>
          <w:tcPr>
            <w:tcW w:w="1702" w:type="dxa"/>
            <w:tcBorders>
              <w:top w:val="nil"/>
              <w:left w:val="single" w:sz="4" w:space="0" w:color="auto"/>
              <w:bottom w:val="nil"/>
            </w:tcBorders>
          </w:tcPr>
          <w:p w14:paraId="7968FE9D" w14:textId="77777777" w:rsidR="003101CC" w:rsidRPr="00575C4B" w:rsidRDefault="00206481" w:rsidP="001F1765">
            <w:pPr>
              <w:pStyle w:val="TableParagraph"/>
              <w:spacing w:before="2" w:line="242" w:lineRule="exact"/>
              <w:ind w:left="649" w:right="582"/>
              <w:jc w:val="center"/>
              <w:rPr>
                <w:rFonts w:cs="Times New Roman"/>
                <w:sz w:val="20"/>
                <w:szCs w:val="20"/>
              </w:rPr>
            </w:pPr>
            <w:r w:rsidRPr="00575C4B">
              <w:rPr>
                <w:rFonts w:cs="Times New Roman"/>
                <w:sz w:val="20"/>
                <w:szCs w:val="20"/>
              </w:rPr>
              <w:t>45</w:t>
            </w:r>
          </w:p>
        </w:tc>
      </w:tr>
      <w:tr w:rsidR="00271040" w14:paraId="4EC02F15" w14:textId="77777777" w:rsidTr="00F30662">
        <w:trPr>
          <w:trHeight w:val="264"/>
        </w:trPr>
        <w:tc>
          <w:tcPr>
            <w:tcW w:w="4159" w:type="dxa"/>
            <w:tcBorders>
              <w:top w:val="nil"/>
              <w:bottom w:val="nil"/>
            </w:tcBorders>
          </w:tcPr>
          <w:p w14:paraId="399B9E91" w14:textId="77777777" w:rsidR="003101CC" w:rsidRPr="00575C4B" w:rsidRDefault="00206481" w:rsidP="001F1765">
            <w:pPr>
              <w:pStyle w:val="TableParagraph"/>
              <w:spacing w:line="239" w:lineRule="exact"/>
              <w:ind w:left="118"/>
              <w:rPr>
                <w:rFonts w:cs="Times New Roman"/>
                <w:b/>
                <w:sz w:val="20"/>
                <w:szCs w:val="20"/>
              </w:rPr>
            </w:pPr>
            <w:r w:rsidRPr="00575C4B">
              <w:rPr>
                <w:rFonts w:cs="Times New Roman"/>
                <w:w w:val="105"/>
                <w:sz w:val="20"/>
                <w:szCs w:val="20"/>
              </w:rPr>
              <w:t xml:space="preserve">Acting as </w:t>
            </w:r>
            <w:r w:rsidRPr="00575C4B">
              <w:rPr>
                <w:rFonts w:cs="Times New Roman"/>
                <w:b/>
                <w:w w:val="105"/>
                <w:sz w:val="20"/>
                <w:szCs w:val="20"/>
              </w:rPr>
              <w:t>principal agent</w:t>
            </w:r>
          </w:p>
        </w:tc>
        <w:tc>
          <w:tcPr>
            <w:tcW w:w="1745" w:type="dxa"/>
            <w:tcBorders>
              <w:top w:val="nil"/>
              <w:bottom w:val="nil"/>
              <w:right w:val="single" w:sz="4" w:space="0" w:color="auto"/>
            </w:tcBorders>
          </w:tcPr>
          <w:p w14:paraId="221EE84F" w14:textId="77777777" w:rsidR="003101CC" w:rsidRPr="00575C4B" w:rsidRDefault="00206481" w:rsidP="001F1765">
            <w:pPr>
              <w:pStyle w:val="TableParagraph"/>
              <w:spacing w:before="2" w:line="242" w:lineRule="exact"/>
              <w:ind w:left="279" w:right="277"/>
              <w:jc w:val="center"/>
              <w:rPr>
                <w:rFonts w:cs="Times New Roman"/>
                <w:sz w:val="20"/>
                <w:szCs w:val="20"/>
              </w:rPr>
            </w:pPr>
            <w:r w:rsidRPr="00575C4B">
              <w:rPr>
                <w:rFonts w:cs="Times New Roman"/>
                <w:w w:val="95"/>
                <w:sz w:val="20"/>
                <w:szCs w:val="20"/>
              </w:rPr>
              <w:t>25</w:t>
            </w:r>
          </w:p>
        </w:tc>
        <w:tc>
          <w:tcPr>
            <w:tcW w:w="1702" w:type="dxa"/>
            <w:tcBorders>
              <w:top w:val="nil"/>
              <w:left w:val="single" w:sz="4" w:space="0" w:color="auto"/>
              <w:bottom w:val="nil"/>
            </w:tcBorders>
          </w:tcPr>
          <w:p w14:paraId="16C2EB0E" w14:textId="77777777" w:rsidR="003101CC" w:rsidRPr="00575C4B" w:rsidRDefault="00206481" w:rsidP="001F1765">
            <w:pPr>
              <w:pStyle w:val="TableParagraph"/>
              <w:spacing w:before="2" w:line="242" w:lineRule="exact"/>
              <w:ind w:left="657" w:right="582"/>
              <w:jc w:val="center"/>
              <w:rPr>
                <w:rFonts w:cs="Times New Roman"/>
                <w:sz w:val="20"/>
                <w:szCs w:val="20"/>
              </w:rPr>
            </w:pPr>
            <w:r w:rsidRPr="00575C4B">
              <w:rPr>
                <w:rFonts w:cs="Times New Roman"/>
                <w:w w:val="95"/>
                <w:sz w:val="20"/>
                <w:szCs w:val="20"/>
              </w:rPr>
              <w:t>25</w:t>
            </w:r>
          </w:p>
        </w:tc>
      </w:tr>
      <w:tr w:rsidR="00271040" w14:paraId="2E46599B" w14:textId="77777777" w:rsidTr="00F30662">
        <w:trPr>
          <w:trHeight w:val="264"/>
        </w:trPr>
        <w:tc>
          <w:tcPr>
            <w:tcW w:w="4159" w:type="dxa"/>
            <w:tcBorders>
              <w:top w:val="nil"/>
              <w:bottom w:val="nil"/>
            </w:tcBorders>
          </w:tcPr>
          <w:p w14:paraId="3DDB1EE8" w14:textId="77777777" w:rsidR="003101CC" w:rsidRPr="00575C4B" w:rsidRDefault="00206481" w:rsidP="001F1765">
            <w:pPr>
              <w:pStyle w:val="TableParagraph"/>
              <w:spacing w:before="6"/>
              <w:ind w:left="118"/>
              <w:rPr>
                <w:rFonts w:cs="Times New Roman"/>
                <w:sz w:val="20"/>
                <w:szCs w:val="20"/>
              </w:rPr>
            </w:pPr>
            <w:r w:rsidRPr="00575C4B">
              <w:rPr>
                <w:rFonts w:cs="Times New Roman"/>
                <w:w w:val="110"/>
                <w:sz w:val="20"/>
                <w:szCs w:val="20"/>
              </w:rPr>
              <w:t>Time management</w:t>
            </w:r>
          </w:p>
        </w:tc>
        <w:tc>
          <w:tcPr>
            <w:tcW w:w="1745" w:type="dxa"/>
            <w:tcBorders>
              <w:top w:val="nil"/>
              <w:bottom w:val="nil"/>
              <w:right w:val="single" w:sz="4" w:space="0" w:color="auto"/>
            </w:tcBorders>
          </w:tcPr>
          <w:p w14:paraId="1A3D81CD" w14:textId="77777777" w:rsidR="003101CC" w:rsidRPr="00575C4B" w:rsidRDefault="00206481" w:rsidP="001F1765">
            <w:pPr>
              <w:pStyle w:val="TableParagraph"/>
              <w:spacing w:before="2" w:line="242" w:lineRule="exact"/>
              <w:ind w:left="288" w:right="277"/>
              <w:jc w:val="center"/>
              <w:rPr>
                <w:rFonts w:cs="Times New Roman"/>
                <w:sz w:val="20"/>
                <w:szCs w:val="20"/>
              </w:rPr>
            </w:pPr>
            <w:r w:rsidRPr="00575C4B">
              <w:rPr>
                <w:rFonts w:cs="Times New Roman"/>
                <w:w w:val="95"/>
                <w:sz w:val="20"/>
                <w:szCs w:val="20"/>
              </w:rPr>
              <w:t>25</w:t>
            </w:r>
          </w:p>
        </w:tc>
        <w:tc>
          <w:tcPr>
            <w:tcW w:w="1702" w:type="dxa"/>
            <w:tcBorders>
              <w:top w:val="nil"/>
              <w:left w:val="single" w:sz="4" w:space="0" w:color="auto"/>
              <w:bottom w:val="nil"/>
            </w:tcBorders>
          </w:tcPr>
          <w:p w14:paraId="44A94EF1" w14:textId="77777777" w:rsidR="003101CC" w:rsidRPr="00575C4B" w:rsidRDefault="00206481" w:rsidP="001F1765">
            <w:pPr>
              <w:pStyle w:val="TableParagraph"/>
              <w:spacing w:before="2" w:line="242" w:lineRule="exact"/>
              <w:ind w:left="667" w:right="582"/>
              <w:jc w:val="center"/>
              <w:rPr>
                <w:rFonts w:cs="Times New Roman"/>
                <w:sz w:val="20"/>
                <w:szCs w:val="20"/>
              </w:rPr>
            </w:pPr>
            <w:r w:rsidRPr="00575C4B">
              <w:rPr>
                <w:rFonts w:cs="Times New Roman"/>
                <w:w w:val="95"/>
                <w:sz w:val="20"/>
                <w:szCs w:val="20"/>
              </w:rPr>
              <w:t>25</w:t>
            </w:r>
          </w:p>
        </w:tc>
      </w:tr>
      <w:tr w:rsidR="00271040" w14:paraId="27C5DA90" w14:textId="77777777" w:rsidTr="00F30662">
        <w:trPr>
          <w:trHeight w:val="261"/>
        </w:trPr>
        <w:tc>
          <w:tcPr>
            <w:tcW w:w="4159" w:type="dxa"/>
            <w:tcBorders>
              <w:top w:val="nil"/>
              <w:bottom w:val="nil"/>
            </w:tcBorders>
          </w:tcPr>
          <w:p w14:paraId="5BE851EB" w14:textId="77777777" w:rsidR="003101CC" w:rsidRPr="00575C4B" w:rsidRDefault="00206481" w:rsidP="001F1765">
            <w:pPr>
              <w:pStyle w:val="TableParagraph"/>
              <w:spacing w:before="6"/>
              <w:ind w:left="121"/>
              <w:rPr>
                <w:rFonts w:cs="Times New Roman"/>
                <w:sz w:val="20"/>
                <w:szCs w:val="20"/>
              </w:rPr>
            </w:pPr>
            <w:r w:rsidRPr="00575C4B">
              <w:rPr>
                <w:rFonts w:cs="Times New Roman"/>
                <w:w w:val="110"/>
                <w:sz w:val="20"/>
                <w:szCs w:val="20"/>
              </w:rPr>
              <w:t>Project administration</w:t>
            </w:r>
          </w:p>
        </w:tc>
        <w:tc>
          <w:tcPr>
            <w:tcW w:w="1745" w:type="dxa"/>
            <w:tcBorders>
              <w:top w:val="nil"/>
              <w:bottom w:val="nil"/>
              <w:right w:val="single" w:sz="4" w:space="0" w:color="auto"/>
            </w:tcBorders>
          </w:tcPr>
          <w:p w14:paraId="7A9B9090" w14:textId="77777777" w:rsidR="003101CC" w:rsidRPr="00575C4B" w:rsidRDefault="00206481" w:rsidP="001F1765">
            <w:pPr>
              <w:pStyle w:val="TableParagraph"/>
              <w:spacing w:before="2" w:line="240" w:lineRule="exact"/>
              <w:ind w:left="288" w:right="277"/>
              <w:jc w:val="center"/>
              <w:rPr>
                <w:rFonts w:cs="Times New Roman"/>
                <w:sz w:val="20"/>
                <w:szCs w:val="20"/>
              </w:rPr>
            </w:pPr>
            <w:r w:rsidRPr="00575C4B">
              <w:rPr>
                <w:rFonts w:cs="Times New Roman"/>
                <w:w w:val="95"/>
                <w:sz w:val="20"/>
                <w:szCs w:val="20"/>
              </w:rPr>
              <w:t>25</w:t>
            </w:r>
          </w:p>
        </w:tc>
        <w:tc>
          <w:tcPr>
            <w:tcW w:w="1702" w:type="dxa"/>
            <w:tcBorders>
              <w:top w:val="nil"/>
              <w:left w:val="single" w:sz="4" w:space="0" w:color="auto"/>
              <w:bottom w:val="nil"/>
            </w:tcBorders>
          </w:tcPr>
          <w:p w14:paraId="3D05EF9B" w14:textId="77777777" w:rsidR="003101CC" w:rsidRPr="00575C4B" w:rsidRDefault="00206481" w:rsidP="001F1765">
            <w:pPr>
              <w:pStyle w:val="TableParagraph"/>
              <w:spacing w:before="2" w:line="240" w:lineRule="exact"/>
              <w:ind w:left="672" w:right="582"/>
              <w:jc w:val="center"/>
              <w:rPr>
                <w:rFonts w:cs="Times New Roman"/>
                <w:sz w:val="20"/>
                <w:szCs w:val="20"/>
              </w:rPr>
            </w:pPr>
            <w:r w:rsidRPr="00575C4B">
              <w:rPr>
                <w:rFonts w:cs="Times New Roman"/>
                <w:w w:val="95"/>
                <w:sz w:val="20"/>
                <w:szCs w:val="20"/>
              </w:rPr>
              <w:t>25</w:t>
            </w:r>
          </w:p>
        </w:tc>
      </w:tr>
      <w:tr w:rsidR="00271040" w14:paraId="671BD89A" w14:textId="77777777" w:rsidTr="00F30662">
        <w:trPr>
          <w:trHeight w:val="261"/>
        </w:trPr>
        <w:tc>
          <w:tcPr>
            <w:tcW w:w="4159" w:type="dxa"/>
            <w:tcBorders>
              <w:top w:val="nil"/>
              <w:bottom w:val="nil"/>
            </w:tcBorders>
          </w:tcPr>
          <w:p w14:paraId="6C5E8433" w14:textId="77777777" w:rsidR="003101CC" w:rsidRPr="00575C4B" w:rsidRDefault="00206481" w:rsidP="001F1765">
            <w:pPr>
              <w:pStyle w:val="TableParagraph"/>
              <w:spacing w:line="236" w:lineRule="exact"/>
              <w:ind w:left="123"/>
              <w:rPr>
                <w:rFonts w:cs="Times New Roman"/>
                <w:b/>
                <w:sz w:val="20"/>
                <w:szCs w:val="20"/>
              </w:rPr>
            </w:pPr>
            <w:r w:rsidRPr="00575C4B">
              <w:rPr>
                <w:rFonts w:cs="Times New Roman"/>
                <w:w w:val="105"/>
                <w:sz w:val="20"/>
                <w:szCs w:val="20"/>
              </w:rPr>
              <w:t xml:space="preserve">Acting as </w:t>
            </w:r>
            <w:r w:rsidRPr="00575C4B">
              <w:rPr>
                <w:rFonts w:cs="Times New Roman"/>
                <w:b/>
                <w:w w:val="105"/>
                <w:sz w:val="20"/>
                <w:szCs w:val="20"/>
              </w:rPr>
              <w:t>construction manager</w:t>
            </w:r>
          </w:p>
        </w:tc>
        <w:tc>
          <w:tcPr>
            <w:tcW w:w="1745" w:type="dxa"/>
            <w:tcBorders>
              <w:top w:val="nil"/>
              <w:bottom w:val="nil"/>
              <w:right w:val="single" w:sz="4" w:space="0" w:color="auto"/>
            </w:tcBorders>
          </w:tcPr>
          <w:p w14:paraId="01029A15" w14:textId="77777777" w:rsidR="003101CC" w:rsidRPr="00575C4B" w:rsidRDefault="00206481" w:rsidP="001F1765">
            <w:pPr>
              <w:pStyle w:val="TableParagraph"/>
              <w:spacing w:before="4" w:line="238" w:lineRule="exact"/>
              <w:ind w:left="297" w:right="271"/>
              <w:jc w:val="center"/>
              <w:rPr>
                <w:rFonts w:cs="Times New Roman"/>
                <w:sz w:val="20"/>
                <w:szCs w:val="20"/>
              </w:rPr>
            </w:pPr>
            <w:r w:rsidRPr="00575C4B">
              <w:rPr>
                <w:rFonts w:cs="Times New Roman"/>
                <w:w w:val="90"/>
                <w:sz w:val="20"/>
                <w:szCs w:val="20"/>
              </w:rPr>
              <w:t>100</w:t>
            </w:r>
          </w:p>
        </w:tc>
        <w:tc>
          <w:tcPr>
            <w:tcW w:w="1702" w:type="dxa"/>
            <w:tcBorders>
              <w:top w:val="nil"/>
              <w:left w:val="single" w:sz="4" w:space="0" w:color="auto"/>
              <w:bottom w:val="nil"/>
            </w:tcBorders>
          </w:tcPr>
          <w:p w14:paraId="5BDDCD5A" w14:textId="77777777" w:rsidR="003101CC" w:rsidRPr="00575C4B" w:rsidRDefault="00206481" w:rsidP="001F1765">
            <w:pPr>
              <w:pStyle w:val="TableParagraph"/>
              <w:spacing w:line="242" w:lineRule="exact"/>
              <w:ind w:left="691" w:right="582"/>
              <w:jc w:val="center"/>
              <w:rPr>
                <w:rFonts w:cs="Times New Roman"/>
                <w:sz w:val="20"/>
                <w:szCs w:val="20"/>
              </w:rPr>
            </w:pPr>
            <w:r w:rsidRPr="00575C4B">
              <w:rPr>
                <w:rFonts w:cs="Times New Roman"/>
                <w:w w:val="90"/>
                <w:sz w:val="20"/>
                <w:szCs w:val="20"/>
              </w:rPr>
              <w:t>100</w:t>
            </w:r>
          </w:p>
        </w:tc>
      </w:tr>
      <w:tr w:rsidR="00271040" w14:paraId="26CA975E" w14:textId="77777777" w:rsidTr="00F30662">
        <w:trPr>
          <w:trHeight w:val="268"/>
        </w:trPr>
        <w:tc>
          <w:tcPr>
            <w:tcW w:w="4159" w:type="dxa"/>
            <w:tcBorders>
              <w:top w:val="nil"/>
              <w:bottom w:val="nil"/>
            </w:tcBorders>
          </w:tcPr>
          <w:p w14:paraId="32516842" w14:textId="77777777" w:rsidR="003101CC" w:rsidRPr="00575C4B" w:rsidRDefault="00206481" w:rsidP="001F1765">
            <w:pPr>
              <w:pStyle w:val="TableParagraph"/>
              <w:spacing w:before="2"/>
              <w:ind w:left="117"/>
              <w:rPr>
                <w:rFonts w:cs="Times New Roman"/>
                <w:sz w:val="20"/>
                <w:szCs w:val="20"/>
              </w:rPr>
            </w:pPr>
            <w:r w:rsidRPr="00575C4B">
              <w:rPr>
                <w:rFonts w:cs="Times New Roman"/>
                <w:w w:val="110"/>
                <w:sz w:val="20"/>
                <w:szCs w:val="20"/>
              </w:rPr>
              <w:t>Client and consultant co-ordination</w:t>
            </w:r>
          </w:p>
        </w:tc>
        <w:tc>
          <w:tcPr>
            <w:tcW w:w="1745" w:type="dxa"/>
            <w:tcBorders>
              <w:top w:val="nil"/>
              <w:bottom w:val="nil"/>
              <w:right w:val="single" w:sz="4" w:space="0" w:color="auto"/>
            </w:tcBorders>
          </w:tcPr>
          <w:p w14:paraId="78197D6C" w14:textId="77777777" w:rsidR="003101CC" w:rsidRPr="00575C4B" w:rsidRDefault="00206481" w:rsidP="001F1765">
            <w:pPr>
              <w:pStyle w:val="TableParagraph"/>
              <w:spacing w:line="249" w:lineRule="exact"/>
              <w:ind w:left="297" w:right="272"/>
              <w:jc w:val="center"/>
              <w:rPr>
                <w:rFonts w:cs="Times New Roman"/>
                <w:sz w:val="20"/>
                <w:szCs w:val="20"/>
              </w:rPr>
            </w:pPr>
            <w:r w:rsidRPr="00575C4B">
              <w:rPr>
                <w:rFonts w:cs="Times New Roman"/>
                <w:sz w:val="20"/>
                <w:szCs w:val="20"/>
              </w:rPr>
              <w:t>20</w:t>
            </w:r>
          </w:p>
        </w:tc>
        <w:tc>
          <w:tcPr>
            <w:tcW w:w="1702" w:type="dxa"/>
            <w:tcBorders>
              <w:top w:val="nil"/>
              <w:left w:val="single" w:sz="4" w:space="0" w:color="auto"/>
              <w:bottom w:val="nil"/>
            </w:tcBorders>
          </w:tcPr>
          <w:p w14:paraId="04ED8316" w14:textId="77777777" w:rsidR="003101CC" w:rsidRPr="00575C4B" w:rsidRDefault="00206481" w:rsidP="001F1765">
            <w:pPr>
              <w:pStyle w:val="TableParagraph"/>
              <w:spacing w:before="2" w:line="247" w:lineRule="exact"/>
              <w:ind w:left="769"/>
              <w:rPr>
                <w:rFonts w:cs="Times New Roman"/>
                <w:sz w:val="20"/>
                <w:szCs w:val="20"/>
              </w:rPr>
            </w:pPr>
            <w:r w:rsidRPr="00575C4B">
              <w:rPr>
                <w:rFonts w:cs="Times New Roman"/>
                <w:sz w:val="20"/>
                <w:szCs w:val="20"/>
              </w:rPr>
              <w:t>20.</w:t>
            </w:r>
          </w:p>
        </w:tc>
      </w:tr>
      <w:tr w:rsidR="00271040" w14:paraId="68CD8718" w14:textId="77777777" w:rsidTr="00F30662">
        <w:trPr>
          <w:trHeight w:val="251"/>
        </w:trPr>
        <w:tc>
          <w:tcPr>
            <w:tcW w:w="4159" w:type="dxa"/>
            <w:tcBorders>
              <w:top w:val="nil"/>
            </w:tcBorders>
          </w:tcPr>
          <w:p w14:paraId="451DC9B7" w14:textId="77777777" w:rsidR="003101CC" w:rsidRPr="00575C4B" w:rsidRDefault="00206481" w:rsidP="001F1765">
            <w:pPr>
              <w:pStyle w:val="TableParagraph"/>
              <w:spacing w:line="228" w:lineRule="exact"/>
              <w:ind w:left="123"/>
              <w:rPr>
                <w:rFonts w:cs="Times New Roman"/>
                <w:sz w:val="20"/>
                <w:szCs w:val="20"/>
              </w:rPr>
            </w:pPr>
            <w:r w:rsidRPr="00575C4B">
              <w:rPr>
                <w:rFonts w:cs="Times New Roman"/>
                <w:w w:val="110"/>
                <w:sz w:val="20"/>
                <w:szCs w:val="20"/>
              </w:rPr>
              <w:t>Assist</w:t>
            </w:r>
            <w:r w:rsidRPr="00575C4B">
              <w:rPr>
                <w:rFonts w:cs="Times New Roman"/>
                <w:spacing w:val="-20"/>
                <w:w w:val="110"/>
                <w:sz w:val="20"/>
                <w:szCs w:val="20"/>
              </w:rPr>
              <w:t xml:space="preserve"> </w:t>
            </w:r>
            <w:r w:rsidRPr="00575C4B">
              <w:rPr>
                <w:rFonts w:cs="Times New Roman"/>
                <w:w w:val="110"/>
                <w:sz w:val="20"/>
                <w:szCs w:val="20"/>
              </w:rPr>
              <w:t>in</w:t>
            </w:r>
            <w:r w:rsidRPr="00575C4B">
              <w:rPr>
                <w:rFonts w:cs="Times New Roman"/>
                <w:spacing w:val="-23"/>
                <w:w w:val="110"/>
                <w:sz w:val="20"/>
                <w:szCs w:val="20"/>
              </w:rPr>
              <w:t xml:space="preserve"> </w:t>
            </w:r>
            <w:r w:rsidRPr="00575C4B">
              <w:rPr>
                <w:rFonts w:cs="Times New Roman"/>
                <w:w w:val="110"/>
                <w:sz w:val="20"/>
                <w:szCs w:val="20"/>
              </w:rPr>
              <w:t>setting</w:t>
            </w:r>
            <w:r w:rsidRPr="00575C4B">
              <w:rPr>
                <w:rFonts w:cs="Times New Roman"/>
                <w:spacing w:val="-23"/>
                <w:w w:val="110"/>
                <w:sz w:val="20"/>
                <w:szCs w:val="20"/>
              </w:rPr>
              <w:t xml:space="preserve"> </w:t>
            </w:r>
            <w:r w:rsidRPr="00575C4B">
              <w:rPr>
                <w:rFonts w:cs="Times New Roman"/>
                <w:w w:val="110"/>
                <w:sz w:val="20"/>
                <w:szCs w:val="20"/>
              </w:rPr>
              <w:t>up</w:t>
            </w:r>
            <w:r w:rsidRPr="00575C4B">
              <w:rPr>
                <w:rFonts w:cs="Times New Roman"/>
                <w:spacing w:val="-30"/>
                <w:w w:val="110"/>
                <w:sz w:val="20"/>
                <w:szCs w:val="20"/>
              </w:rPr>
              <w:t xml:space="preserve"> </w:t>
            </w:r>
            <w:r w:rsidRPr="00575C4B">
              <w:rPr>
                <w:rFonts w:cs="Times New Roman"/>
                <w:w w:val="110"/>
                <w:sz w:val="20"/>
                <w:szCs w:val="20"/>
              </w:rPr>
              <w:t>creative</w:t>
            </w:r>
            <w:r w:rsidRPr="00575C4B">
              <w:rPr>
                <w:rFonts w:cs="Times New Roman"/>
                <w:spacing w:val="-27"/>
                <w:w w:val="110"/>
                <w:sz w:val="20"/>
                <w:szCs w:val="20"/>
              </w:rPr>
              <w:t xml:space="preserve"> </w:t>
            </w:r>
            <w:r w:rsidRPr="00575C4B">
              <w:rPr>
                <w:rFonts w:cs="Times New Roman"/>
                <w:w w:val="110"/>
                <w:sz w:val="20"/>
                <w:szCs w:val="20"/>
              </w:rPr>
              <w:t>financing</w:t>
            </w:r>
            <w:r w:rsidRPr="00575C4B">
              <w:rPr>
                <w:rFonts w:cs="Times New Roman"/>
                <w:spacing w:val="-21"/>
                <w:w w:val="110"/>
                <w:sz w:val="20"/>
                <w:szCs w:val="20"/>
              </w:rPr>
              <w:t xml:space="preserve"> </w:t>
            </w:r>
            <w:r w:rsidRPr="00575C4B">
              <w:rPr>
                <w:rFonts w:cs="Times New Roman"/>
                <w:w w:val="110"/>
                <w:sz w:val="20"/>
                <w:szCs w:val="20"/>
              </w:rPr>
              <w:t>schemes</w:t>
            </w:r>
          </w:p>
        </w:tc>
        <w:tc>
          <w:tcPr>
            <w:tcW w:w="1745" w:type="dxa"/>
            <w:tcBorders>
              <w:top w:val="nil"/>
              <w:right w:val="single" w:sz="4" w:space="0" w:color="auto"/>
            </w:tcBorders>
          </w:tcPr>
          <w:p w14:paraId="22D03FC8" w14:textId="77777777" w:rsidR="003101CC" w:rsidRPr="00575C4B" w:rsidRDefault="00206481" w:rsidP="001F1765">
            <w:pPr>
              <w:pStyle w:val="TableParagraph"/>
              <w:spacing w:line="228" w:lineRule="exact"/>
              <w:ind w:left="297" w:right="267"/>
              <w:jc w:val="center"/>
              <w:rPr>
                <w:rFonts w:cs="Times New Roman"/>
                <w:sz w:val="20"/>
                <w:szCs w:val="20"/>
              </w:rPr>
            </w:pPr>
            <w:r w:rsidRPr="00575C4B">
              <w:rPr>
                <w:rFonts w:cs="Times New Roman"/>
                <w:w w:val="110"/>
                <w:sz w:val="20"/>
                <w:szCs w:val="20"/>
              </w:rPr>
              <w:t>Time charge</w:t>
            </w:r>
          </w:p>
        </w:tc>
        <w:tc>
          <w:tcPr>
            <w:tcW w:w="1702" w:type="dxa"/>
            <w:tcBorders>
              <w:top w:val="nil"/>
              <w:left w:val="single" w:sz="4" w:space="0" w:color="auto"/>
            </w:tcBorders>
          </w:tcPr>
          <w:p w14:paraId="2A2BAE61" w14:textId="77777777" w:rsidR="003101CC" w:rsidRPr="00575C4B" w:rsidRDefault="00206481" w:rsidP="001F1765">
            <w:pPr>
              <w:pStyle w:val="TableParagraph"/>
              <w:spacing w:before="2" w:line="229" w:lineRule="exact"/>
              <w:ind w:right="244"/>
              <w:jc w:val="right"/>
              <w:rPr>
                <w:rFonts w:cs="Times New Roman"/>
                <w:sz w:val="20"/>
                <w:szCs w:val="20"/>
              </w:rPr>
            </w:pPr>
            <w:r w:rsidRPr="00575C4B">
              <w:rPr>
                <w:rFonts w:cs="Times New Roman"/>
                <w:w w:val="110"/>
                <w:sz w:val="20"/>
                <w:szCs w:val="20"/>
              </w:rPr>
              <w:t>Time charge</w:t>
            </w:r>
          </w:p>
        </w:tc>
      </w:tr>
    </w:tbl>
    <w:p w14:paraId="2FC484FA" w14:textId="77777777" w:rsidR="003101CC" w:rsidRDefault="003101CC" w:rsidP="003101CC">
      <w:pPr>
        <w:pStyle w:val="BodyText"/>
        <w:spacing w:before="10"/>
        <w:rPr>
          <w:sz w:val="28"/>
        </w:rPr>
      </w:pPr>
    </w:p>
    <w:p w14:paraId="212E3BD2" w14:textId="77777777" w:rsidR="003101CC" w:rsidRPr="00575C4B" w:rsidRDefault="00206481" w:rsidP="00575C4B">
      <w:pPr>
        <w:pStyle w:val="REG-P0"/>
      </w:pPr>
      <w:r w:rsidRPr="00575C4B">
        <w:t>*</w:t>
      </w:r>
      <w:r w:rsidRPr="00575C4B">
        <w:rPr>
          <w:b/>
        </w:rPr>
        <w:t>Small or simple building works</w:t>
      </w:r>
      <w:r w:rsidRPr="00575C4B">
        <w:t xml:space="preserve"> documentation</w:t>
      </w:r>
    </w:p>
    <w:p w14:paraId="05B9A855" w14:textId="77777777" w:rsidR="003101CC" w:rsidRDefault="003101CC" w:rsidP="003101CC">
      <w:pPr>
        <w:pStyle w:val="BodyText"/>
        <w:rPr>
          <w:sz w:val="27"/>
        </w:rPr>
      </w:pPr>
    </w:p>
    <w:p w14:paraId="3E7B6B78" w14:textId="77777777" w:rsidR="003101CC" w:rsidRPr="00713BFA" w:rsidRDefault="00206481" w:rsidP="00713BFA">
      <w:pPr>
        <w:pStyle w:val="REG-P1"/>
      </w:pPr>
      <w:r w:rsidRPr="00713BFA">
        <w:t>(9)</w:t>
      </w:r>
      <w:r w:rsidRPr="00713BFA">
        <w:tab/>
        <w:t>A time charge shall be levied for services in respect of the following:</w:t>
      </w:r>
    </w:p>
    <w:p w14:paraId="1FD6A2FA" w14:textId="77777777" w:rsidR="00575C4B" w:rsidRPr="00575C4B" w:rsidRDefault="00575C4B" w:rsidP="00575C4B">
      <w:pPr>
        <w:pStyle w:val="REG-P1"/>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3"/>
        <w:gridCol w:w="2673"/>
      </w:tblGrid>
      <w:tr w:rsidR="00271040" w14:paraId="26324158" w14:textId="77777777" w:rsidTr="0082139D">
        <w:trPr>
          <w:trHeight w:val="864"/>
        </w:trPr>
        <w:tc>
          <w:tcPr>
            <w:tcW w:w="4943" w:type="dxa"/>
            <w:tcBorders>
              <w:bottom w:val="single" w:sz="8" w:space="0" w:color="auto"/>
            </w:tcBorders>
          </w:tcPr>
          <w:p w14:paraId="08371622" w14:textId="77777777" w:rsidR="003101CC" w:rsidRPr="00575C4B" w:rsidRDefault="003101CC" w:rsidP="001F1765">
            <w:pPr>
              <w:pStyle w:val="TableParagraph"/>
              <w:rPr>
                <w:rFonts w:cs="Times New Roman"/>
                <w:sz w:val="20"/>
                <w:szCs w:val="20"/>
              </w:rPr>
            </w:pPr>
          </w:p>
          <w:p w14:paraId="4458CA80" w14:textId="77777777" w:rsidR="003101CC" w:rsidRPr="00575C4B" w:rsidRDefault="00206481" w:rsidP="001F1765">
            <w:pPr>
              <w:pStyle w:val="TableParagraph"/>
              <w:ind w:left="1943" w:right="2206"/>
              <w:jc w:val="center"/>
              <w:rPr>
                <w:rFonts w:cs="Times New Roman"/>
                <w:sz w:val="20"/>
                <w:szCs w:val="20"/>
              </w:rPr>
            </w:pPr>
            <w:r w:rsidRPr="00575C4B">
              <w:rPr>
                <w:rFonts w:cs="Times New Roman"/>
                <w:sz w:val="20"/>
                <w:szCs w:val="20"/>
              </w:rPr>
              <w:t>Category</w:t>
            </w:r>
          </w:p>
        </w:tc>
        <w:tc>
          <w:tcPr>
            <w:tcW w:w="2673" w:type="dxa"/>
            <w:tcBorders>
              <w:bottom w:val="single" w:sz="8" w:space="0" w:color="auto"/>
            </w:tcBorders>
          </w:tcPr>
          <w:p w14:paraId="1D5D7A87" w14:textId="77777777" w:rsidR="003101CC" w:rsidRPr="00575C4B" w:rsidRDefault="00206481" w:rsidP="001F1765">
            <w:pPr>
              <w:pStyle w:val="TableParagraph"/>
              <w:spacing w:before="43" w:line="268" w:lineRule="auto"/>
              <w:ind w:left="300" w:hanging="30"/>
              <w:rPr>
                <w:rFonts w:cs="Times New Roman"/>
                <w:sz w:val="20"/>
                <w:szCs w:val="20"/>
              </w:rPr>
            </w:pPr>
            <w:r w:rsidRPr="00575C4B">
              <w:rPr>
                <w:rFonts w:cs="Times New Roman"/>
                <w:w w:val="105"/>
                <w:sz w:val="20"/>
                <w:szCs w:val="20"/>
              </w:rPr>
              <w:t>Percentage of time charge calculated in accordance with subparagraph (13)</w:t>
            </w:r>
          </w:p>
        </w:tc>
      </w:tr>
      <w:tr w:rsidR="00271040" w14:paraId="6576D86D" w14:textId="77777777" w:rsidTr="0082139D">
        <w:trPr>
          <w:trHeight w:val="268"/>
        </w:trPr>
        <w:tc>
          <w:tcPr>
            <w:tcW w:w="4943" w:type="dxa"/>
            <w:tcBorders>
              <w:top w:val="single" w:sz="8" w:space="0" w:color="auto"/>
            </w:tcBorders>
          </w:tcPr>
          <w:p w14:paraId="71019E90" w14:textId="77777777" w:rsidR="003101CC" w:rsidRPr="00575C4B" w:rsidRDefault="00206481" w:rsidP="001F1765">
            <w:pPr>
              <w:pStyle w:val="TableParagraph"/>
              <w:spacing w:before="34" w:line="214" w:lineRule="exact"/>
              <w:ind w:left="33"/>
              <w:jc w:val="center"/>
              <w:rPr>
                <w:rFonts w:cs="Times New Roman"/>
                <w:sz w:val="20"/>
                <w:szCs w:val="20"/>
              </w:rPr>
            </w:pPr>
            <w:r w:rsidRPr="00575C4B">
              <w:rPr>
                <w:rFonts w:cs="Times New Roman"/>
                <w:w w:val="80"/>
                <w:sz w:val="20"/>
                <w:szCs w:val="20"/>
              </w:rPr>
              <w:t>1</w:t>
            </w:r>
          </w:p>
        </w:tc>
        <w:tc>
          <w:tcPr>
            <w:tcW w:w="2673" w:type="dxa"/>
            <w:tcBorders>
              <w:top w:val="single" w:sz="8" w:space="0" w:color="auto"/>
            </w:tcBorders>
          </w:tcPr>
          <w:p w14:paraId="662CF318" w14:textId="77777777" w:rsidR="003101CC" w:rsidRPr="00575C4B" w:rsidRDefault="00206481" w:rsidP="001F1765">
            <w:pPr>
              <w:pStyle w:val="TableParagraph"/>
              <w:spacing w:before="38" w:line="210" w:lineRule="exact"/>
              <w:ind w:left="27"/>
              <w:jc w:val="center"/>
              <w:rPr>
                <w:rFonts w:cs="Times New Roman"/>
                <w:sz w:val="20"/>
                <w:szCs w:val="20"/>
              </w:rPr>
            </w:pPr>
            <w:r w:rsidRPr="00575C4B">
              <w:rPr>
                <w:rFonts w:cs="Times New Roman"/>
                <w:w w:val="102"/>
                <w:sz w:val="20"/>
                <w:szCs w:val="20"/>
              </w:rPr>
              <w:t>2</w:t>
            </w:r>
          </w:p>
        </w:tc>
      </w:tr>
      <w:tr w:rsidR="00271040" w14:paraId="0624A6F0" w14:textId="77777777" w:rsidTr="00D1407D">
        <w:trPr>
          <w:trHeight w:val="278"/>
        </w:trPr>
        <w:tc>
          <w:tcPr>
            <w:tcW w:w="4943" w:type="dxa"/>
            <w:tcBorders>
              <w:bottom w:val="nil"/>
            </w:tcBorders>
          </w:tcPr>
          <w:p w14:paraId="1B59BF57" w14:textId="77777777" w:rsidR="003101CC" w:rsidRPr="00575C4B" w:rsidRDefault="00206481" w:rsidP="001F1765">
            <w:pPr>
              <w:pStyle w:val="TableParagraph"/>
              <w:spacing w:before="24" w:line="234" w:lineRule="exact"/>
              <w:ind w:left="114"/>
              <w:rPr>
                <w:rFonts w:cs="Times New Roman"/>
                <w:b/>
                <w:sz w:val="20"/>
                <w:szCs w:val="20"/>
              </w:rPr>
            </w:pPr>
            <w:r w:rsidRPr="00575C4B">
              <w:rPr>
                <w:rFonts w:cs="Times New Roman"/>
                <w:b/>
                <w:sz w:val="20"/>
                <w:szCs w:val="20"/>
              </w:rPr>
              <w:t>Feasibility studies</w:t>
            </w:r>
          </w:p>
        </w:tc>
        <w:tc>
          <w:tcPr>
            <w:tcW w:w="2673" w:type="dxa"/>
            <w:tcBorders>
              <w:bottom w:val="nil"/>
            </w:tcBorders>
          </w:tcPr>
          <w:p w14:paraId="5D0E3C1A" w14:textId="77777777" w:rsidR="003101CC" w:rsidRPr="00575C4B" w:rsidRDefault="00206481" w:rsidP="001F1765">
            <w:pPr>
              <w:pStyle w:val="TableParagraph"/>
              <w:spacing w:before="38" w:line="220" w:lineRule="exact"/>
              <w:ind w:left="62" w:right="4"/>
              <w:jc w:val="center"/>
              <w:rPr>
                <w:rFonts w:cs="Times New Roman"/>
                <w:sz w:val="20"/>
                <w:szCs w:val="20"/>
              </w:rPr>
            </w:pPr>
            <w:r w:rsidRPr="00575C4B">
              <w:rPr>
                <w:rFonts w:cs="Times New Roman"/>
                <w:w w:val="105"/>
                <w:sz w:val="20"/>
                <w:szCs w:val="20"/>
              </w:rPr>
              <w:t>100</w:t>
            </w:r>
          </w:p>
        </w:tc>
      </w:tr>
      <w:tr w:rsidR="00271040" w14:paraId="7BDF96D8" w14:textId="77777777" w:rsidTr="00D1407D">
        <w:trPr>
          <w:trHeight w:val="255"/>
        </w:trPr>
        <w:tc>
          <w:tcPr>
            <w:tcW w:w="4943" w:type="dxa"/>
            <w:tcBorders>
              <w:top w:val="nil"/>
              <w:bottom w:val="nil"/>
            </w:tcBorders>
          </w:tcPr>
          <w:p w14:paraId="4724F178" w14:textId="77777777" w:rsidR="003101CC" w:rsidRPr="00575C4B" w:rsidRDefault="00206481" w:rsidP="001F1765">
            <w:pPr>
              <w:pStyle w:val="TableParagraph"/>
              <w:spacing w:before="1" w:line="235" w:lineRule="exact"/>
              <w:ind w:left="117"/>
              <w:rPr>
                <w:rFonts w:cs="Times New Roman"/>
                <w:b/>
                <w:sz w:val="20"/>
                <w:szCs w:val="20"/>
              </w:rPr>
            </w:pPr>
            <w:r w:rsidRPr="00575C4B">
              <w:rPr>
                <w:rFonts w:cs="Times New Roman"/>
                <w:b/>
                <w:sz w:val="20"/>
                <w:szCs w:val="20"/>
              </w:rPr>
              <w:t>Tenant requirements</w:t>
            </w:r>
          </w:p>
        </w:tc>
        <w:tc>
          <w:tcPr>
            <w:tcW w:w="2673" w:type="dxa"/>
            <w:tcBorders>
              <w:top w:val="nil"/>
              <w:bottom w:val="nil"/>
            </w:tcBorders>
          </w:tcPr>
          <w:p w14:paraId="6F506FD8" w14:textId="77777777" w:rsidR="003101CC" w:rsidRPr="00575C4B" w:rsidRDefault="00206481" w:rsidP="001F1765">
            <w:pPr>
              <w:pStyle w:val="TableParagraph"/>
              <w:spacing w:before="10" w:line="225" w:lineRule="exact"/>
              <w:ind w:left="62" w:right="4"/>
              <w:jc w:val="center"/>
              <w:rPr>
                <w:rFonts w:cs="Times New Roman"/>
                <w:sz w:val="20"/>
                <w:szCs w:val="20"/>
              </w:rPr>
            </w:pPr>
            <w:r w:rsidRPr="00575C4B">
              <w:rPr>
                <w:rFonts w:cs="Times New Roman"/>
                <w:w w:val="105"/>
                <w:sz w:val="20"/>
                <w:szCs w:val="20"/>
              </w:rPr>
              <w:t>100</w:t>
            </w:r>
          </w:p>
        </w:tc>
      </w:tr>
      <w:tr w:rsidR="00271040" w14:paraId="56AF3521" w14:textId="77777777" w:rsidTr="00D1407D">
        <w:trPr>
          <w:trHeight w:val="251"/>
        </w:trPr>
        <w:tc>
          <w:tcPr>
            <w:tcW w:w="4943" w:type="dxa"/>
            <w:tcBorders>
              <w:top w:val="nil"/>
              <w:bottom w:val="nil"/>
            </w:tcBorders>
          </w:tcPr>
          <w:p w14:paraId="4BAAD388" w14:textId="77777777" w:rsidR="003101CC" w:rsidRPr="00575C4B" w:rsidRDefault="00206481" w:rsidP="001F1765">
            <w:pPr>
              <w:pStyle w:val="TableParagraph"/>
              <w:spacing w:before="4" w:line="227" w:lineRule="exact"/>
              <w:ind w:left="116"/>
              <w:rPr>
                <w:rFonts w:cs="Times New Roman"/>
                <w:sz w:val="20"/>
                <w:szCs w:val="20"/>
              </w:rPr>
            </w:pPr>
            <w:r w:rsidRPr="00575C4B">
              <w:rPr>
                <w:rFonts w:cs="Times New Roman"/>
                <w:sz w:val="20"/>
                <w:szCs w:val="20"/>
              </w:rPr>
              <w:t>Default by either party to a building contract</w:t>
            </w:r>
          </w:p>
        </w:tc>
        <w:tc>
          <w:tcPr>
            <w:tcW w:w="2673" w:type="dxa"/>
            <w:tcBorders>
              <w:top w:val="nil"/>
              <w:bottom w:val="nil"/>
            </w:tcBorders>
          </w:tcPr>
          <w:p w14:paraId="7381D402" w14:textId="77777777" w:rsidR="003101CC" w:rsidRPr="00575C4B" w:rsidRDefault="00206481" w:rsidP="001F1765">
            <w:pPr>
              <w:pStyle w:val="TableParagraph"/>
              <w:spacing w:before="9" w:line="222" w:lineRule="exact"/>
              <w:ind w:left="62" w:right="4"/>
              <w:jc w:val="center"/>
              <w:rPr>
                <w:rFonts w:cs="Times New Roman"/>
                <w:sz w:val="20"/>
                <w:szCs w:val="20"/>
              </w:rPr>
            </w:pPr>
            <w:r w:rsidRPr="00575C4B">
              <w:rPr>
                <w:rFonts w:cs="Times New Roman"/>
                <w:w w:val="105"/>
                <w:sz w:val="20"/>
                <w:szCs w:val="20"/>
              </w:rPr>
              <w:t>100</w:t>
            </w:r>
          </w:p>
        </w:tc>
      </w:tr>
      <w:tr w:rsidR="00271040" w14:paraId="13658506" w14:textId="77777777" w:rsidTr="00D1407D">
        <w:trPr>
          <w:trHeight w:val="247"/>
        </w:trPr>
        <w:tc>
          <w:tcPr>
            <w:tcW w:w="4943" w:type="dxa"/>
            <w:tcBorders>
              <w:top w:val="nil"/>
              <w:bottom w:val="nil"/>
            </w:tcBorders>
          </w:tcPr>
          <w:p w14:paraId="1A961C1E" w14:textId="77777777" w:rsidR="003101CC" w:rsidRPr="00575C4B" w:rsidRDefault="00206481" w:rsidP="001F1765">
            <w:pPr>
              <w:pStyle w:val="TableParagraph"/>
              <w:spacing w:before="3" w:line="224" w:lineRule="exact"/>
              <w:ind w:left="116"/>
              <w:rPr>
                <w:rFonts w:cs="Times New Roman"/>
                <w:sz w:val="20"/>
                <w:szCs w:val="20"/>
              </w:rPr>
            </w:pPr>
            <w:r w:rsidRPr="00575C4B">
              <w:rPr>
                <w:rFonts w:cs="Times New Roman"/>
                <w:sz w:val="20"/>
                <w:szCs w:val="20"/>
              </w:rPr>
              <w:t>Disputes, litigation or mediation (assisting in the</w:t>
            </w:r>
          </w:p>
        </w:tc>
        <w:tc>
          <w:tcPr>
            <w:tcW w:w="2673" w:type="dxa"/>
            <w:tcBorders>
              <w:top w:val="nil"/>
              <w:bottom w:val="nil"/>
            </w:tcBorders>
          </w:tcPr>
          <w:p w14:paraId="0BC1584F" w14:textId="77777777" w:rsidR="003101CC" w:rsidRPr="00575C4B" w:rsidRDefault="003101CC" w:rsidP="001F1765">
            <w:pPr>
              <w:pStyle w:val="TableParagraph"/>
              <w:rPr>
                <w:rFonts w:cs="Times New Roman"/>
                <w:sz w:val="20"/>
                <w:szCs w:val="20"/>
              </w:rPr>
            </w:pPr>
          </w:p>
        </w:tc>
      </w:tr>
      <w:tr w:rsidR="00271040" w14:paraId="6946D62F" w14:textId="77777777" w:rsidTr="00D1407D">
        <w:trPr>
          <w:trHeight w:val="254"/>
        </w:trPr>
        <w:tc>
          <w:tcPr>
            <w:tcW w:w="4943" w:type="dxa"/>
            <w:tcBorders>
              <w:top w:val="nil"/>
              <w:bottom w:val="nil"/>
            </w:tcBorders>
          </w:tcPr>
          <w:p w14:paraId="38AD051B" w14:textId="77777777" w:rsidR="003101CC" w:rsidRPr="00575C4B" w:rsidRDefault="00206481" w:rsidP="001F1765">
            <w:pPr>
              <w:pStyle w:val="TableParagraph"/>
              <w:spacing w:before="5" w:line="229" w:lineRule="exact"/>
              <w:ind w:left="119"/>
              <w:rPr>
                <w:rFonts w:cs="Times New Roman"/>
                <w:sz w:val="20"/>
                <w:szCs w:val="20"/>
              </w:rPr>
            </w:pPr>
            <w:r w:rsidRPr="00575C4B">
              <w:rPr>
                <w:rFonts w:cs="Times New Roman"/>
                <w:sz w:val="20"/>
                <w:szCs w:val="20"/>
              </w:rPr>
              <w:t>settlement of disputes, attending meeting and attending</w:t>
            </w:r>
          </w:p>
        </w:tc>
        <w:tc>
          <w:tcPr>
            <w:tcW w:w="2673" w:type="dxa"/>
            <w:tcBorders>
              <w:top w:val="nil"/>
              <w:bottom w:val="nil"/>
            </w:tcBorders>
          </w:tcPr>
          <w:p w14:paraId="60A9B30D" w14:textId="77777777" w:rsidR="003101CC" w:rsidRPr="00575C4B" w:rsidRDefault="003101CC" w:rsidP="001F1765">
            <w:pPr>
              <w:pStyle w:val="TableParagraph"/>
              <w:rPr>
                <w:rFonts w:cs="Times New Roman"/>
                <w:sz w:val="20"/>
                <w:szCs w:val="20"/>
              </w:rPr>
            </w:pPr>
          </w:p>
        </w:tc>
      </w:tr>
      <w:tr w:rsidR="00271040" w14:paraId="4CF6D482" w14:textId="77777777" w:rsidTr="00D1407D">
        <w:trPr>
          <w:trHeight w:val="254"/>
        </w:trPr>
        <w:tc>
          <w:tcPr>
            <w:tcW w:w="4943" w:type="dxa"/>
            <w:tcBorders>
              <w:top w:val="nil"/>
              <w:bottom w:val="nil"/>
            </w:tcBorders>
          </w:tcPr>
          <w:p w14:paraId="5D93A875" w14:textId="77777777" w:rsidR="003101CC" w:rsidRPr="00575C4B" w:rsidRDefault="00206481" w:rsidP="001F1765">
            <w:pPr>
              <w:pStyle w:val="TableParagraph"/>
              <w:spacing w:before="10" w:line="224" w:lineRule="exact"/>
              <w:ind w:left="122"/>
              <w:rPr>
                <w:rFonts w:cs="Times New Roman"/>
                <w:sz w:val="20"/>
                <w:szCs w:val="20"/>
              </w:rPr>
            </w:pPr>
            <w:r w:rsidRPr="00575C4B">
              <w:rPr>
                <w:rFonts w:cs="Times New Roman"/>
                <w:w w:val="105"/>
                <w:sz w:val="20"/>
                <w:szCs w:val="20"/>
              </w:rPr>
              <w:t>at court)</w:t>
            </w:r>
          </w:p>
        </w:tc>
        <w:tc>
          <w:tcPr>
            <w:tcW w:w="2673" w:type="dxa"/>
            <w:tcBorders>
              <w:top w:val="nil"/>
              <w:bottom w:val="nil"/>
            </w:tcBorders>
          </w:tcPr>
          <w:p w14:paraId="04B2731D" w14:textId="77777777" w:rsidR="003101CC" w:rsidRPr="00575C4B" w:rsidRDefault="00206481" w:rsidP="001F1765">
            <w:pPr>
              <w:pStyle w:val="TableParagraph"/>
              <w:spacing w:before="10" w:line="224" w:lineRule="exact"/>
              <w:ind w:left="72" w:right="4"/>
              <w:jc w:val="center"/>
              <w:rPr>
                <w:rFonts w:cs="Times New Roman"/>
                <w:sz w:val="20"/>
                <w:szCs w:val="20"/>
              </w:rPr>
            </w:pPr>
            <w:r w:rsidRPr="00575C4B">
              <w:rPr>
                <w:rFonts w:cs="Times New Roman"/>
                <w:w w:val="105"/>
                <w:sz w:val="20"/>
                <w:szCs w:val="20"/>
              </w:rPr>
              <w:t>100</w:t>
            </w:r>
          </w:p>
        </w:tc>
      </w:tr>
      <w:tr w:rsidR="00271040" w14:paraId="7D48F6B6" w14:textId="77777777" w:rsidTr="00D1407D">
        <w:trPr>
          <w:trHeight w:val="249"/>
        </w:trPr>
        <w:tc>
          <w:tcPr>
            <w:tcW w:w="4943" w:type="dxa"/>
            <w:tcBorders>
              <w:top w:val="nil"/>
              <w:bottom w:val="nil"/>
            </w:tcBorders>
          </w:tcPr>
          <w:p w14:paraId="3443692D" w14:textId="77777777" w:rsidR="003101CC" w:rsidRPr="00575C4B" w:rsidRDefault="00206481" w:rsidP="001F1765">
            <w:pPr>
              <w:pStyle w:val="TableParagraph"/>
              <w:spacing w:before="5" w:line="224" w:lineRule="exact"/>
              <w:ind w:left="115"/>
              <w:rPr>
                <w:rFonts w:cs="Times New Roman"/>
                <w:sz w:val="20"/>
                <w:szCs w:val="20"/>
              </w:rPr>
            </w:pPr>
            <w:r w:rsidRPr="00575C4B">
              <w:rPr>
                <w:rFonts w:cs="Times New Roman"/>
                <w:sz w:val="20"/>
                <w:szCs w:val="20"/>
              </w:rPr>
              <w:t>Expert witness (preparation, attending meetings and</w:t>
            </w:r>
          </w:p>
        </w:tc>
        <w:tc>
          <w:tcPr>
            <w:tcW w:w="2673" w:type="dxa"/>
            <w:tcBorders>
              <w:top w:val="nil"/>
              <w:bottom w:val="nil"/>
            </w:tcBorders>
          </w:tcPr>
          <w:p w14:paraId="1926B70C" w14:textId="77777777" w:rsidR="003101CC" w:rsidRPr="00575C4B" w:rsidRDefault="003101CC" w:rsidP="001F1765">
            <w:pPr>
              <w:pStyle w:val="TableParagraph"/>
              <w:rPr>
                <w:rFonts w:cs="Times New Roman"/>
                <w:sz w:val="20"/>
                <w:szCs w:val="20"/>
              </w:rPr>
            </w:pPr>
          </w:p>
        </w:tc>
      </w:tr>
      <w:tr w:rsidR="00271040" w14:paraId="5D90F692" w14:textId="77777777" w:rsidTr="00D1407D">
        <w:trPr>
          <w:trHeight w:val="254"/>
        </w:trPr>
        <w:tc>
          <w:tcPr>
            <w:tcW w:w="4943" w:type="dxa"/>
            <w:tcBorders>
              <w:top w:val="nil"/>
              <w:bottom w:val="nil"/>
            </w:tcBorders>
          </w:tcPr>
          <w:p w14:paraId="732D9C86" w14:textId="77777777" w:rsidR="003101CC" w:rsidRPr="00575C4B" w:rsidRDefault="00206481" w:rsidP="001F1765">
            <w:pPr>
              <w:pStyle w:val="TableParagraph"/>
              <w:spacing w:before="10" w:line="224" w:lineRule="exact"/>
              <w:ind w:left="117"/>
              <w:rPr>
                <w:rFonts w:cs="Times New Roman"/>
                <w:sz w:val="20"/>
                <w:szCs w:val="20"/>
              </w:rPr>
            </w:pPr>
            <w:r w:rsidRPr="00575C4B">
              <w:rPr>
                <w:rFonts w:cs="Times New Roman"/>
                <w:w w:val="105"/>
                <w:sz w:val="20"/>
                <w:szCs w:val="20"/>
              </w:rPr>
              <w:t>attending at court)</w:t>
            </w:r>
          </w:p>
        </w:tc>
        <w:tc>
          <w:tcPr>
            <w:tcW w:w="2673" w:type="dxa"/>
            <w:tcBorders>
              <w:top w:val="nil"/>
              <w:bottom w:val="nil"/>
            </w:tcBorders>
          </w:tcPr>
          <w:p w14:paraId="37DABCFD" w14:textId="77777777" w:rsidR="003101CC" w:rsidRPr="00575C4B" w:rsidRDefault="00206481" w:rsidP="001F1765">
            <w:pPr>
              <w:pStyle w:val="TableParagraph"/>
              <w:spacing w:before="5" w:line="229" w:lineRule="exact"/>
              <w:ind w:left="60" w:right="4"/>
              <w:jc w:val="center"/>
              <w:rPr>
                <w:rFonts w:cs="Times New Roman"/>
                <w:sz w:val="20"/>
                <w:szCs w:val="20"/>
              </w:rPr>
            </w:pPr>
            <w:r w:rsidRPr="00575C4B">
              <w:rPr>
                <w:rFonts w:cs="Times New Roman"/>
                <w:w w:val="105"/>
                <w:sz w:val="20"/>
                <w:szCs w:val="20"/>
              </w:rPr>
              <w:t>110 (minimum of three hours)</w:t>
            </w:r>
          </w:p>
        </w:tc>
      </w:tr>
      <w:tr w:rsidR="00271040" w14:paraId="25674639" w14:textId="77777777" w:rsidTr="00D1407D">
        <w:trPr>
          <w:trHeight w:val="247"/>
        </w:trPr>
        <w:tc>
          <w:tcPr>
            <w:tcW w:w="4943" w:type="dxa"/>
            <w:tcBorders>
              <w:top w:val="nil"/>
              <w:bottom w:val="nil"/>
            </w:tcBorders>
          </w:tcPr>
          <w:p w14:paraId="1D5035E1" w14:textId="77777777" w:rsidR="003101CC" w:rsidRPr="00575C4B" w:rsidRDefault="00206481" w:rsidP="001F1765">
            <w:pPr>
              <w:pStyle w:val="TableParagraph"/>
              <w:spacing w:before="5" w:line="222" w:lineRule="exact"/>
              <w:ind w:left="116"/>
              <w:rPr>
                <w:rFonts w:cs="Times New Roman"/>
                <w:sz w:val="20"/>
                <w:szCs w:val="20"/>
              </w:rPr>
            </w:pPr>
            <w:r w:rsidRPr="00575C4B">
              <w:rPr>
                <w:rFonts w:cs="Times New Roman"/>
                <w:sz w:val="20"/>
                <w:szCs w:val="20"/>
              </w:rPr>
              <w:t>Mediator (time spent in establishing procedural matters</w:t>
            </w:r>
          </w:p>
        </w:tc>
        <w:tc>
          <w:tcPr>
            <w:tcW w:w="2673" w:type="dxa"/>
            <w:tcBorders>
              <w:top w:val="nil"/>
              <w:bottom w:val="nil"/>
            </w:tcBorders>
          </w:tcPr>
          <w:p w14:paraId="292FAF5D" w14:textId="77777777" w:rsidR="003101CC" w:rsidRPr="00575C4B" w:rsidRDefault="003101CC" w:rsidP="001F1765">
            <w:pPr>
              <w:pStyle w:val="TableParagraph"/>
              <w:rPr>
                <w:rFonts w:cs="Times New Roman"/>
                <w:sz w:val="20"/>
                <w:szCs w:val="20"/>
              </w:rPr>
            </w:pPr>
          </w:p>
        </w:tc>
      </w:tr>
      <w:tr w:rsidR="00271040" w14:paraId="4F4D5E19" w14:textId="77777777" w:rsidTr="00D1407D">
        <w:trPr>
          <w:trHeight w:val="247"/>
        </w:trPr>
        <w:tc>
          <w:tcPr>
            <w:tcW w:w="4943" w:type="dxa"/>
            <w:tcBorders>
              <w:top w:val="nil"/>
              <w:bottom w:val="nil"/>
            </w:tcBorders>
          </w:tcPr>
          <w:p w14:paraId="05FDBE78" w14:textId="77777777" w:rsidR="003101CC" w:rsidRPr="00575C4B" w:rsidRDefault="00206481" w:rsidP="001F1765">
            <w:pPr>
              <w:pStyle w:val="TableParagraph"/>
              <w:spacing w:before="3" w:line="224" w:lineRule="exact"/>
              <w:ind w:left="128"/>
              <w:rPr>
                <w:rFonts w:cs="Times New Roman"/>
                <w:sz w:val="20"/>
                <w:szCs w:val="20"/>
              </w:rPr>
            </w:pPr>
            <w:r w:rsidRPr="00575C4B">
              <w:rPr>
                <w:rFonts w:cs="Times New Roman"/>
                <w:sz w:val="20"/>
                <w:szCs w:val="20"/>
              </w:rPr>
              <w:t>with the parties, attending the mediation hearing,</w:t>
            </w:r>
          </w:p>
        </w:tc>
        <w:tc>
          <w:tcPr>
            <w:tcW w:w="2673" w:type="dxa"/>
            <w:tcBorders>
              <w:top w:val="nil"/>
              <w:bottom w:val="nil"/>
            </w:tcBorders>
          </w:tcPr>
          <w:p w14:paraId="7280B930" w14:textId="77777777" w:rsidR="003101CC" w:rsidRPr="00575C4B" w:rsidRDefault="003101CC" w:rsidP="001F1765">
            <w:pPr>
              <w:pStyle w:val="TableParagraph"/>
              <w:rPr>
                <w:rFonts w:cs="Times New Roman"/>
                <w:sz w:val="20"/>
                <w:szCs w:val="20"/>
              </w:rPr>
            </w:pPr>
          </w:p>
        </w:tc>
      </w:tr>
      <w:tr w:rsidR="00271040" w14:paraId="1A570F95" w14:textId="77777777" w:rsidTr="00D1407D">
        <w:trPr>
          <w:trHeight w:val="249"/>
        </w:trPr>
        <w:tc>
          <w:tcPr>
            <w:tcW w:w="4943" w:type="dxa"/>
            <w:tcBorders>
              <w:top w:val="nil"/>
              <w:bottom w:val="nil"/>
            </w:tcBorders>
          </w:tcPr>
          <w:p w14:paraId="661FC211" w14:textId="77777777" w:rsidR="003101CC" w:rsidRPr="00575C4B" w:rsidRDefault="00206481" w:rsidP="001F1765">
            <w:pPr>
              <w:pStyle w:val="TableParagraph"/>
              <w:spacing w:before="5" w:line="224" w:lineRule="exact"/>
              <w:ind w:left="119"/>
              <w:rPr>
                <w:rFonts w:cs="Times New Roman"/>
                <w:sz w:val="20"/>
                <w:szCs w:val="20"/>
              </w:rPr>
            </w:pPr>
            <w:r w:rsidRPr="00575C4B">
              <w:rPr>
                <w:rFonts w:cs="Times New Roman"/>
                <w:sz w:val="20"/>
                <w:szCs w:val="20"/>
              </w:rPr>
              <w:t>studying the evidence and framing and publishing his</w:t>
            </w:r>
          </w:p>
        </w:tc>
        <w:tc>
          <w:tcPr>
            <w:tcW w:w="2673" w:type="dxa"/>
            <w:tcBorders>
              <w:top w:val="nil"/>
              <w:bottom w:val="nil"/>
            </w:tcBorders>
          </w:tcPr>
          <w:p w14:paraId="6B64EFF9" w14:textId="77777777" w:rsidR="003101CC" w:rsidRPr="00575C4B" w:rsidRDefault="003101CC" w:rsidP="001F1765">
            <w:pPr>
              <w:pStyle w:val="TableParagraph"/>
              <w:rPr>
                <w:rFonts w:cs="Times New Roman"/>
                <w:sz w:val="20"/>
                <w:szCs w:val="20"/>
              </w:rPr>
            </w:pPr>
          </w:p>
        </w:tc>
      </w:tr>
      <w:tr w:rsidR="00271040" w14:paraId="386A6973" w14:textId="77777777" w:rsidTr="00D1407D">
        <w:trPr>
          <w:trHeight w:val="254"/>
        </w:trPr>
        <w:tc>
          <w:tcPr>
            <w:tcW w:w="4943" w:type="dxa"/>
            <w:tcBorders>
              <w:top w:val="nil"/>
              <w:bottom w:val="nil"/>
            </w:tcBorders>
          </w:tcPr>
          <w:p w14:paraId="18FD7ECE" w14:textId="77777777" w:rsidR="003101CC" w:rsidRPr="00575C4B" w:rsidRDefault="00206481" w:rsidP="001F1765">
            <w:pPr>
              <w:pStyle w:val="TableParagraph"/>
              <w:spacing w:before="10" w:line="224" w:lineRule="exact"/>
              <w:ind w:left="117"/>
              <w:rPr>
                <w:rFonts w:cs="Times New Roman"/>
                <w:sz w:val="20"/>
                <w:szCs w:val="20"/>
              </w:rPr>
            </w:pPr>
            <w:r w:rsidRPr="00575C4B">
              <w:rPr>
                <w:rFonts w:cs="Times New Roman"/>
                <w:w w:val="105"/>
                <w:sz w:val="20"/>
                <w:szCs w:val="20"/>
              </w:rPr>
              <w:t>opinion)</w:t>
            </w:r>
          </w:p>
        </w:tc>
        <w:tc>
          <w:tcPr>
            <w:tcW w:w="2673" w:type="dxa"/>
            <w:tcBorders>
              <w:top w:val="nil"/>
              <w:bottom w:val="nil"/>
            </w:tcBorders>
          </w:tcPr>
          <w:p w14:paraId="4FF656BD" w14:textId="77777777" w:rsidR="003101CC" w:rsidRPr="00575C4B" w:rsidRDefault="00206481" w:rsidP="001F1765">
            <w:pPr>
              <w:pStyle w:val="TableParagraph"/>
              <w:spacing w:before="5" w:line="229" w:lineRule="exact"/>
              <w:ind w:left="55" w:right="4"/>
              <w:jc w:val="center"/>
              <w:rPr>
                <w:rFonts w:cs="Times New Roman"/>
                <w:sz w:val="20"/>
                <w:szCs w:val="20"/>
              </w:rPr>
            </w:pPr>
            <w:r w:rsidRPr="00575C4B">
              <w:rPr>
                <w:rFonts w:cs="Times New Roman"/>
                <w:sz w:val="20"/>
                <w:szCs w:val="20"/>
              </w:rPr>
              <w:t>125 (minimum of three hours)</w:t>
            </w:r>
          </w:p>
        </w:tc>
      </w:tr>
      <w:tr w:rsidR="00271040" w14:paraId="2CC8ED43" w14:textId="77777777" w:rsidTr="00D1407D">
        <w:trPr>
          <w:trHeight w:val="249"/>
        </w:trPr>
        <w:tc>
          <w:tcPr>
            <w:tcW w:w="4943" w:type="dxa"/>
            <w:tcBorders>
              <w:top w:val="nil"/>
              <w:bottom w:val="nil"/>
            </w:tcBorders>
          </w:tcPr>
          <w:p w14:paraId="655C43FB" w14:textId="77777777" w:rsidR="003101CC" w:rsidRPr="00575C4B" w:rsidRDefault="00206481" w:rsidP="001F1765">
            <w:pPr>
              <w:pStyle w:val="TableParagraph"/>
              <w:spacing w:before="5" w:line="224" w:lineRule="exact"/>
              <w:ind w:left="123"/>
              <w:rPr>
                <w:rFonts w:cs="Times New Roman"/>
                <w:sz w:val="20"/>
                <w:szCs w:val="20"/>
              </w:rPr>
            </w:pPr>
            <w:r w:rsidRPr="00575C4B">
              <w:rPr>
                <w:rFonts w:cs="Times New Roman"/>
                <w:w w:val="105"/>
                <w:sz w:val="20"/>
                <w:szCs w:val="20"/>
              </w:rPr>
              <w:t>Arbitrator or umpire (time spent in establishing</w:t>
            </w:r>
          </w:p>
        </w:tc>
        <w:tc>
          <w:tcPr>
            <w:tcW w:w="2673" w:type="dxa"/>
            <w:tcBorders>
              <w:top w:val="nil"/>
              <w:bottom w:val="nil"/>
            </w:tcBorders>
          </w:tcPr>
          <w:p w14:paraId="1FA8E0E8" w14:textId="77777777" w:rsidR="003101CC" w:rsidRPr="00575C4B" w:rsidRDefault="003101CC" w:rsidP="001F1765">
            <w:pPr>
              <w:pStyle w:val="TableParagraph"/>
              <w:rPr>
                <w:rFonts w:cs="Times New Roman"/>
                <w:sz w:val="20"/>
                <w:szCs w:val="20"/>
              </w:rPr>
            </w:pPr>
          </w:p>
        </w:tc>
      </w:tr>
      <w:tr w:rsidR="00271040" w14:paraId="3E1CEC95" w14:textId="77777777" w:rsidTr="00D1407D">
        <w:trPr>
          <w:trHeight w:val="249"/>
        </w:trPr>
        <w:tc>
          <w:tcPr>
            <w:tcW w:w="4943" w:type="dxa"/>
            <w:tcBorders>
              <w:top w:val="nil"/>
              <w:bottom w:val="nil"/>
            </w:tcBorders>
          </w:tcPr>
          <w:p w14:paraId="3342FA08" w14:textId="77777777" w:rsidR="003101CC" w:rsidRPr="00575C4B" w:rsidRDefault="00206481" w:rsidP="001F1765">
            <w:pPr>
              <w:pStyle w:val="TableParagraph"/>
              <w:spacing w:before="5" w:line="224" w:lineRule="exact"/>
              <w:ind w:left="120"/>
              <w:rPr>
                <w:rFonts w:cs="Times New Roman"/>
                <w:sz w:val="20"/>
                <w:szCs w:val="20"/>
              </w:rPr>
            </w:pPr>
            <w:r w:rsidRPr="00575C4B">
              <w:rPr>
                <w:rFonts w:cs="Times New Roman"/>
                <w:sz w:val="20"/>
                <w:szCs w:val="20"/>
              </w:rPr>
              <w:t>procedural matters with the parties, attending the</w:t>
            </w:r>
          </w:p>
        </w:tc>
        <w:tc>
          <w:tcPr>
            <w:tcW w:w="2673" w:type="dxa"/>
            <w:tcBorders>
              <w:top w:val="nil"/>
              <w:bottom w:val="nil"/>
            </w:tcBorders>
          </w:tcPr>
          <w:p w14:paraId="2B7EE4D1" w14:textId="77777777" w:rsidR="003101CC" w:rsidRPr="00575C4B" w:rsidRDefault="003101CC" w:rsidP="001F1765">
            <w:pPr>
              <w:pStyle w:val="TableParagraph"/>
              <w:rPr>
                <w:rFonts w:cs="Times New Roman"/>
                <w:sz w:val="20"/>
                <w:szCs w:val="20"/>
              </w:rPr>
            </w:pPr>
          </w:p>
        </w:tc>
      </w:tr>
      <w:tr w:rsidR="00271040" w14:paraId="66CB2698" w14:textId="77777777" w:rsidTr="00D1407D">
        <w:trPr>
          <w:trHeight w:val="249"/>
        </w:trPr>
        <w:tc>
          <w:tcPr>
            <w:tcW w:w="4943" w:type="dxa"/>
            <w:tcBorders>
              <w:top w:val="nil"/>
              <w:bottom w:val="nil"/>
            </w:tcBorders>
          </w:tcPr>
          <w:p w14:paraId="76ACF4FB" w14:textId="77777777" w:rsidR="003101CC" w:rsidRPr="00575C4B" w:rsidRDefault="00206481" w:rsidP="001F1765">
            <w:pPr>
              <w:pStyle w:val="TableParagraph"/>
              <w:spacing w:before="5" w:line="224" w:lineRule="exact"/>
              <w:ind w:left="122"/>
              <w:rPr>
                <w:rFonts w:cs="Times New Roman"/>
                <w:sz w:val="20"/>
                <w:szCs w:val="20"/>
              </w:rPr>
            </w:pPr>
            <w:r w:rsidRPr="00575C4B">
              <w:rPr>
                <w:rFonts w:cs="Times New Roman"/>
                <w:sz w:val="20"/>
                <w:szCs w:val="20"/>
              </w:rPr>
              <w:t>arbitration court, studying the evidence and framing and</w:t>
            </w:r>
          </w:p>
        </w:tc>
        <w:tc>
          <w:tcPr>
            <w:tcW w:w="2673" w:type="dxa"/>
            <w:tcBorders>
              <w:top w:val="nil"/>
              <w:bottom w:val="nil"/>
            </w:tcBorders>
          </w:tcPr>
          <w:p w14:paraId="643F2DC1" w14:textId="77777777" w:rsidR="003101CC" w:rsidRPr="00575C4B" w:rsidRDefault="003101CC" w:rsidP="001F1765">
            <w:pPr>
              <w:pStyle w:val="TableParagraph"/>
              <w:rPr>
                <w:rFonts w:cs="Times New Roman"/>
                <w:sz w:val="20"/>
                <w:szCs w:val="20"/>
              </w:rPr>
            </w:pPr>
          </w:p>
        </w:tc>
      </w:tr>
      <w:tr w:rsidR="00271040" w14:paraId="4BD76B0C" w14:textId="77777777" w:rsidTr="00D1407D">
        <w:trPr>
          <w:trHeight w:val="297"/>
        </w:trPr>
        <w:tc>
          <w:tcPr>
            <w:tcW w:w="4943" w:type="dxa"/>
            <w:tcBorders>
              <w:top w:val="nil"/>
            </w:tcBorders>
          </w:tcPr>
          <w:p w14:paraId="1A947B20" w14:textId="77777777" w:rsidR="003101CC" w:rsidRPr="00575C4B" w:rsidRDefault="00206481" w:rsidP="001F1765">
            <w:pPr>
              <w:pStyle w:val="TableParagraph"/>
              <w:spacing w:before="10"/>
              <w:ind w:left="125"/>
              <w:rPr>
                <w:rFonts w:cs="Times New Roman"/>
                <w:sz w:val="20"/>
                <w:szCs w:val="20"/>
              </w:rPr>
            </w:pPr>
            <w:r w:rsidRPr="00575C4B">
              <w:rPr>
                <w:rFonts w:cs="Times New Roman"/>
                <w:w w:val="105"/>
                <w:sz w:val="20"/>
                <w:szCs w:val="20"/>
              </w:rPr>
              <w:t>publ</w:t>
            </w:r>
            <w:r w:rsidR="00575C4B">
              <w:rPr>
                <w:rFonts w:cs="Times New Roman"/>
                <w:w w:val="105"/>
                <w:sz w:val="20"/>
                <w:szCs w:val="20"/>
              </w:rPr>
              <w:t>i</w:t>
            </w:r>
            <w:r w:rsidRPr="00575C4B">
              <w:rPr>
                <w:rFonts w:cs="Times New Roman"/>
                <w:w w:val="105"/>
                <w:sz w:val="20"/>
                <w:szCs w:val="20"/>
              </w:rPr>
              <w:t>shing the award)</w:t>
            </w:r>
          </w:p>
        </w:tc>
        <w:tc>
          <w:tcPr>
            <w:tcW w:w="2673" w:type="dxa"/>
            <w:tcBorders>
              <w:top w:val="nil"/>
            </w:tcBorders>
          </w:tcPr>
          <w:p w14:paraId="4D442F4D" w14:textId="77777777" w:rsidR="003101CC" w:rsidRPr="00575C4B" w:rsidRDefault="00206481" w:rsidP="001F1765">
            <w:pPr>
              <w:pStyle w:val="TableParagraph"/>
              <w:spacing w:before="5"/>
              <w:ind w:left="63" w:right="2"/>
              <w:jc w:val="center"/>
              <w:rPr>
                <w:rFonts w:cs="Times New Roman"/>
                <w:sz w:val="20"/>
                <w:szCs w:val="20"/>
              </w:rPr>
            </w:pPr>
            <w:r w:rsidRPr="00575C4B">
              <w:rPr>
                <w:rFonts w:cs="Times New Roman"/>
                <w:w w:val="105"/>
                <w:sz w:val="20"/>
                <w:szCs w:val="20"/>
              </w:rPr>
              <w:t>125 (minimum of three hours)</w:t>
            </w:r>
          </w:p>
        </w:tc>
      </w:tr>
    </w:tbl>
    <w:p w14:paraId="22328F8A" w14:textId="77777777" w:rsidR="003101CC" w:rsidRDefault="003101CC" w:rsidP="003101CC">
      <w:pPr>
        <w:pStyle w:val="REG-P0"/>
      </w:pPr>
    </w:p>
    <w:p w14:paraId="08B9755B" w14:textId="77777777" w:rsidR="003101CC" w:rsidRPr="00575C4B" w:rsidRDefault="00206481" w:rsidP="00713BFA">
      <w:pPr>
        <w:pStyle w:val="REG-Pa"/>
      </w:pPr>
      <w:r>
        <w:t>(10)</w:t>
      </w:r>
      <w:r>
        <w:tab/>
      </w:r>
      <w:r w:rsidRPr="00575C4B">
        <w:t>(a)</w:t>
      </w:r>
      <w:r>
        <w:tab/>
      </w:r>
      <w:r w:rsidRPr="00575C4B">
        <w:t xml:space="preserve">Should a contract incorporating bills of quantities be varied to such an extent that the total value of </w:t>
      </w:r>
      <w:r w:rsidRPr="00713BFA">
        <w:rPr>
          <w:b/>
        </w:rPr>
        <w:t>measured work</w:t>
      </w:r>
      <w:r w:rsidRPr="00575C4B">
        <w:t xml:space="preserve"> omitted in the adjustment of variations exceeds </w:t>
      </w:r>
      <w:r w:rsidR="00713BFA">
        <w:t>10</w:t>
      </w:r>
      <w:r w:rsidRPr="00575C4B">
        <w:t xml:space="preserve"> per cent of the value of </w:t>
      </w:r>
      <w:r w:rsidRPr="00713BFA">
        <w:rPr>
          <w:b/>
        </w:rPr>
        <w:t>measured work</w:t>
      </w:r>
      <w:r w:rsidRPr="00575C4B">
        <w:t xml:space="preserve"> in the </w:t>
      </w:r>
      <w:r w:rsidRPr="00713BFA">
        <w:rPr>
          <w:b/>
        </w:rPr>
        <w:t>final value of the contract</w:t>
      </w:r>
      <w:r w:rsidRPr="00575C4B">
        <w:t xml:space="preserve">, then an additional </w:t>
      </w:r>
      <w:r w:rsidRPr="00713BFA">
        <w:rPr>
          <w:b/>
        </w:rPr>
        <w:t>fee</w:t>
      </w:r>
      <w:r w:rsidRPr="00575C4B">
        <w:t xml:space="preserve"> of 50 per cent of the marginal rate applicable to the </w:t>
      </w:r>
      <w:r w:rsidRPr="00713BFA">
        <w:rPr>
          <w:b/>
        </w:rPr>
        <w:t>final value of the contract</w:t>
      </w:r>
      <w:r w:rsidRPr="00575C4B">
        <w:t xml:space="preserve"> shall be charged on the amount of such excess.</w:t>
      </w:r>
    </w:p>
    <w:p w14:paraId="4DD7DDD4" w14:textId="77777777" w:rsidR="003101CC" w:rsidRDefault="003101CC" w:rsidP="003101CC">
      <w:pPr>
        <w:pStyle w:val="BodyText"/>
        <w:rPr>
          <w:sz w:val="25"/>
        </w:rPr>
      </w:pPr>
    </w:p>
    <w:p w14:paraId="6D65E993" w14:textId="77777777" w:rsidR="003101CC" w:rsidRPr="00575C4B" w:rsidRDefault="00206481" w:rsidP="00575C4B">
      <w:pPr>
        <w:pStyle w:val="REG-Pa"/>
      </w:pPr>
      <w:r>
        <w:t>(b)</w:t>
      </w:r>
      <w:r>
        <w:tab/>
      </w:r>
      <w:r w:rsidRPr="00575C4B">
        <w:t xml:space="preserve">Should a contract incorporating bills of provisional quantities be varied to such an extent that a separately identifiable portion thereof originally included in the documentation is subsequently omitted, then an additional </w:t>
      </w:r>
      <w:r w:rsidRPr="00713BFA">
        <w:rPr>
          <w:b/>
        </w:rPr>
        <w:t>fee</w:t>
      </w:r>
      <w:r w:rsidRPr="00575C4B">
        <w:t xml:space="preserve"> of 30 per cent of the marginal rate applicable to the </w:t>
      </w:r>
      <w:r w:rsidRPr="00713BFA">
        <w:rPr>
          <w:b/>
        </w:rPr>
        <w:t>final value of the contract</w:t>
      </w:r>
      <w:r w:rsidRPr="00575C4B">
        <w:t xml:space="preserve"> shall be charged on the estimated value of such omitted work.</w:t>
      </w:r>
    </w:p>
    <w:p w14:paraId="79BEAB41" w14:textId="77777777" w:rsidR="003101CC" w:rsidRPr="00575C4B" w:rsidRDefault="003101CC" w:rsidP="00575C4B">
      <w:pPr>
        <w:pStyle w:val="REG-Pa"/>
      </w:pPr>
    </w:p>
    <w:p w14:paraId="22BCCA63" w14:textId="77777777" w:rsidR="003101CC" w:rsidRPr="00575C4B" w:rsidRDefault="00206481" w:rsidP="00575C4B">
      <w:pPr>
        <w:pStyle w:val="REG-Pa"/>
      </w:pPr>
      <w:r>
        <w:t>(c)</w:t>
      </w:r>
      <w:r>
        <w:tab/>
      </w:r>
      <w:r w:rsidRPr="00575C4B">
        <w:t>Should the actual construction period, in calendar days, less builders</w:t>
      </w:r>
      <w:r w:rsidR="00864B7E">
        <w:t>’</w:t>
      </w:r>
      <w:r w:rsidRPr="00575C4B">
        <w:t xml:space="preserve"> holidays and any extension of time allowed for additional work, vary by more than 15 per cent from the initial contractual construction period similarly determined, then the quantity surveyor shall charge an additional </w:t>
      </w:r>
      <w:r w:rsidRPr="001350DA">
        <w:rPr>
          <w:b/>
        </w:rPr>
        <w:t>fee</w:t>
      </w:r>
      <w:r w:rsidRPr="00575C4B">
        <w:t xml:space="preserve"> for </w:t>
      </w:r>
      <w:r w:rsidRPr="001350DA">
        <w:rPr>
          <w:b/>
        </w:rPr>
        <w:t>stage C</w:t>
      </w:r>
      <w:r w:rsidRPr="00575C4B">
        <w:t xml:space="preserve"> based on the excess over the said 15 per cent </w:t>
      </w:r>
      <w:r w:rsidRPr="001350DA">
        <w:rPr>
          <w:i/>
        </w:rPr>
        <w:t>pro rata</w:t>
      </w:r>
      <w:r w:rsidRPr="00575C4B">
        <w:t xml:space="preserve"> to the initial contractual construction period.</w:t>
      </w:r>
    </w:p>
    <w:p w14:paraId="3FACEF7D" w14:textId="77777777" w:rsidR="003101CC" w:rsidRDefault="003101CC" w:rsidP="00575C4B">
      <w:pPr>
        <w:pStyle w:val="REG-P1"/>
      </w:pPr>
    </w:p>
    <w:p w14:paraId="686C58BD" w14:textId="77777777" w:rsidR="003101CC" w:rsidRDefault="00206481" w:rsidP="001F6B04">
      <w:pPr>
        <w:pStyle w:val="REG-Pa"/>
      </w:pPr>
      <w:r>
        <w:rPr>
          <w:w w:val="105"/>
        </w:rPr>
        <w:t>(11)</w:t>
      </w:r>
      <w:r>
        <w:rPr>
          <w:w w:val="105"/>
        </w:rPr>
        <w:tab/>
        <w:t>(a)</w:t>
      </w:r>
      <w:r>
        <w:rPr>
          <w:spacing w:val="29"/>
          <w:w w:val="105"/>
        </w:rPr>
        <w:tab/>
      </w:r>
      <w:r>
        <w:rPr>
          <w:w w:val="105"/>
        </w:rPr>
        <w:t xml:space="preserve">Should a commission be terminated or deferred, the </w:t>
      </w:r>
      <w:r>
        <w:rPr>
          <w:b/>
          <w:w w:val="105"/>
        </w:rPr>
        <w:t xml:space="preserve">fee </w:t>
      </w:r>
      <w:r>
        <w:rPr>
          <w:w w:val="105"/>
        </w:rPr>
        <w:t xml:space="preserve">for services completed shall be calculated in accordance with paragraph </w:t>
      </w:r>
      <w:r>
        <w:rPr>
          <w:spacing w:val="2"/>
          <w:w w:val="105"/>
        </w:rPr>
        <w:t xml:space="preserve">2(1), </w:t>
      </w:r>
      <w:r>
        <w:rPr>
          <w:w w:val="105"/>
        </w:rPr>
        <w:t xml:space="preserve">(2) and (3), and the </w:t>
      </w:r>
      <w:r>
        <w:rPr>
          <w:b/>
          <w:w w:val="105"/>
        </w:rPr>
        <w:t xml:space="preserve">fee </w:t>
      </w:r>
      <w:r>
        <w:rPr>
          <w:w w:val="105"/>
        </w:rPr>
        <w:t xml:space="preserve">for services partially completed shall be similarly calculated on a </w:t>
      </w:r>
      <w:r>
        <w:rPr>
          <w:i/>
          <w:w w:val="105"/>
        </w:rPr>
        <w:t>quantum meruit</w:t>
      </w:r>
      <w:r>
        <w:rPr>
          <w:i/>
          <w:spacing w:val="40"/>
          <w:w w:val="105"/>
        </w:rPr>
        <w:t xml:space="preserve"> </w:t>
      </w:r>
      <w:r>
        <w:rPr>
          <w:w w:val="105"/>
        </w:rPr>
        <w:t>basis.</w:t>
      </w:r>
    </w:p>
    <w:p w14:paraId="1F952BB2" w14:textId="77777777" w:rsidR="003101CC" w:rsidRDefault="003101CC" w:rsidP="00575C4B">
      <w:pPr>
        <w:pStyle w:val="REG-P0"/>
      </w:pPr>
    </w:p>
    <w:p w14:paraId="38BA07C2" w14:textId="77777777" w:rsidR="003101CC" w:rsidRPr="001F6B04" w:rsidRDefault="00206481" w:rsidP="00575C4B">
      <w:pPr>
        <w:pStyle w:val="REG-Pa"/>
      </w:pPr>
      <w:r w:rsidRPr="00575C4B">
        <w:t>(b)</w:t>
      </w:r>
      <w:r w:rsidR="00575C4B" w:rsidRPr="00575C4B">
        <w:tab/>
      </w:r>
      <w:r w:rsidRPr="001F6B04">
        <w:t xml:space="preserve">Should a commission be terminated or deferred after the commencement of </w:t>
      </w:r>
      <w:r w:rsidRPr="001F6B04">
        <w:rPr>
          <w:b/>
        </w:rPr>
        <w:t>stage B</w:t>
      </w:r>
      <w:r w:rsidRPr="00575C4B">
        <w:t xml:space="preserve"> </w:t>
      </w:r>
      <w:r w:rsidRPr="001F6B04">
        <w:t>then, in addition to the</w:t>
      </w:r>
      <w:r w:rsidRPr="00575C4B">
        <w:t xml:space="preserve"> </w:t>
      </w:r>
      <w:r w:rsidRPr="001F6B04">
        <w:rPr>
          <w:b/>
        </w:rPr>
        <w:t>fee</w:t>
      </w:r>
      <w:r w:rsidRPr="00575C4B">
        <w:t xml:space="preserve"> </w:t>
      </w:r>
      <w:r w:rsidRPr="001F6B04">
        <w:t xml:space="preserve">calculated in accordance with subparagraph (a), a surcharge of </w:t>
      </w:r>
      <w:r w:rsidR="001F6B04" w:rsidRPr="001F6B04">
        <w:t>10</w:t>
      </w:r>
      <w:r w:rsidRPr="001F6B04">
        <w:t xml:space="preserve"> per cent shall be payable on the difference between the fee calculated in accordance with paragraph 2(</w:t>
      </w:r>
      <w:r w:rsidR="00575C4B" w:rsidRPr="001F6B04">
        <w:t>1</w:t>
      </w:r>
      <w:r w:rsidRPr="001F6B04">
        <w:t>),</w:t>
      </w:r>
      <w:r w:rsidR="00575C4B" w:rsidRPr="001F6B04">
        <w:t xml:space="preserve"> </w:t>
      </w:r>
      <w:r w:rsidRPr="001F6B04">
        <w:t>(2) and (3) for</w:t>
      </w:r>
      <w:r>
        <w:rPr>
          <w:spacing w:val="-8"/>
          <w:w w:val="105"/>
        </w:rPr>
        <w:t xml:space="preserve"> </w:t>
      </w:r>
      <w:r>
        <w:rPr>
          <w:b/>
          <w:w w:val="105"/>
        </w:rPr>
        <w:t>stage</w:t>
      </w:r>
      <w:r>
        <w:rPr>
          <w:b/>
          <w:spacing w:val="-15"/>
          <w:w w:val="105"/>
        </w:rPr>
        <w:t xml:space="preserve"> </w:t>
      </w:r>
      <w:r>
        <w:rPr>
          <w:b/>
          <w:w w:val="105"/>
        </w:rPr>
        <w:t>A,</w:t>
      </w:r>
      <w:r>
        <w:rPr>
          <w:b/>
          <w:spacing w:val="-17"/>
          <w:w w:val="105"/>
        </w:rPr>
        <w:t xml:space="preserve"> </w:t>
      </w:r>
      <w:r>
        <w:rPr>
          <w:b/>
          <w:w w:val="105"/>
        </w:rPr>
        <w:t>stage</w:t>
      </w:r>
      <w:r>
        <w:rPr>
          <w:b/>
          <w:spacing w:val="-4"/>
          <w:w w:val="105"/>
        </w:rPr>
        <w:t xml:space="preserve"> </w:t>
      </w:r>
      <w:r>
        <w:rPr>
          <w:b/>
          <w:w w:val="105"/>
        </w:rPr>
        <w:t>B,</w:t>
      </w:r>
      <w:r>
        <w:rPr>
          <w:b/>
          <w:spacing w:val="-13"/>
          <w:w w:val="105"/>
        </w:rPr>
        <w:t xml:space="preserve"> </w:t>
      </w:r>
      <w:r>
        <w:rPr>
          <w:b/>
          <w:w w:val="105"/>
        </w:rPr>
        <w:t>stage</w:t>
      </w:r>
      <w:r>
        <w:rPr>
          <w:b/>
          <w:spacing w:val="1"/>
          <w:w w:val="105"/>
        </w:rPr>
        <w:t xml:space="preserve"> </w:t>
      </w:r>
      <w:r>
        <w:rPr>
          <w:b/>
          <w:w w:val="105"/>
        </w:rPr>
        <w:t>C</w:t>
      </w:r>
      <w:r>
        <w:rPr>
          <w:b/>
          <w:spacing w:val="-13"/>
          <w:w w:val="105"/>
        </w:rPr>
        <w:t xml:space="preserve"> </w:t>
      </w:r>
      <w:r>
        <w:rPr>
          <w:w w:val="105"/>
        </w:rPr>
        <w:t>and</w:t>
      </w:r>
      <w:r>
        <w:rPr>
          <w:spacing w:val="-8"/>
          <w:w w:val="105"/>
        </w:rPr>
        <w:t xml:space="preserve"> </w:t>
      </w:r>
      <w:r>
        <w:rPr>
          <w:b/>
          <w:w w:val="105"/>
        </w:rPr>
        <w:t>stage</w:t>
      </w:r>
      <w:r>
        <w:rPr>
          <w:b/>
          <w:spacing w:val="-2"/>
          <w:w w:val="105"/>
        </w:rPr>
        <w:t xml:space="preserve"> </w:t>
      </w:r>
      <w:r>
        <w:rPr>
          <w:b/>
          <w:w w:val="105"/>
        </w:rPr>
        <w:t>D</w:t>
      </w:r>
      <w:r>
        <w:rPr>
          <w:b/>
          <w:spacing w:val="-17"/>
          <w:w w:val="105"/>
        </w:rPr>
        <w:t xml:space="preserve"> </w:t>
      </w:r>
      <w:r w:rsidRPr="001F6B04">
        <w:t>jointly and the</w:t>
      </w:r>
      <w:r>
        <w:rPr>
          <w:spacing w:val="-2"/>
          <w:w w:val="105"/>
        </w:rPr>
        <w:t xml:space="preserve"> </w:t>
      </w:r>
      <w:r>
        <w:rPr>
          <w:b/>
          <w:w w:val="105"/>
        </w:rPr>
        <w:t xml:space="preserve">fee </w:t>
      </w:r>
      <w:r w:rsidRPr="001F6B04">
        <w:t>calculated in accordance with subparagraph (a): Provided that where a commission is reinstated or resumed within a period of one year from the date of termination or deferment, such surcharge shall be considered to be partial payment of the</w:t>
      </w:r>
      <w:r>
        <w:rPr>
          <w:w w:val="105"/>
        </w:rPr>
        <w:t xml:space="preserve"> </w:t>
      </w:r>
      <w:r>
        <w:rPr>
          <w:b/>
          <w:w w:val="105"/>
        </w:rPr>
        <w:t xml:space="preserve">fee </w:t>
      </w:r>
      <w:r w:rsidRPr="001F6B04">
        <w:t>calculated in accordance with paragraph 2(1), (2) and (3).</w:t>
      </w:r>
    </w:p>
    <w:p w14:paraId="53C86AE0" w14:textId="77777777" w:rsidR="003101CC" w:rsidRDefault="003101CC" w:rsidP="00575C4B">
      <w:pPr>
        <w:pStyle w:val="REG-P0"/>
        <w:rPr>
          <w:sz w:val="23"/>
        </w:rPr>
      </w:pPr>
    </w:p>
    <w:p w14:paraId="4AB90591" w14:textId="77777777" w:rsidR="003101CC" w:rsidRPr="001F6B04" w:rsidRDefault="00206481" w:rsidP="001F6B04">
      <w:pPr>
        <w:pStyle w:val="REG-Pa"/>
      </w:pPr>
      <w:r w:rsidRPr="001F6B04">
        <w:t>(12)</w:t>
      </w:r>
      <w:r w:rsidRPr="001F6B04">
        <w:tab/>
        <w:t>(a)</w:t>
      </w:r>
      <w:r w:rsidRPr="001F6B04">
        <w:tab/>
        <w:t>The</w:t>
      </w:r>
      <w:r>
        <w:rPr>
          <w:w w:val="105"/>
        </w:rPr>
        <w:t xml:space="preserve"> </w:t>
      </w:r>
      <w:r>
        <w:rPr>
          <w:b/>
          <w:w w:val="105"/>
        </w:rPr>
        <w:t xml:space="preserve">fee </w:t>
      </w:r>
      <w:r w:rsidRPr="001F6B04">
        <w:t>for surveying a contract in progress, taking particulars and preparing valuations for the issue of interim payment certificates on a contract for which the quantity surveyor has not prepared bills of quantities, shall be 15 per cent of the</w:t>
      </w:r>
      <w:r>
        <w:rPr>
          <w:w w:val="105"/>
        </w:rPr>
        <w:t xml:space="preserve"> </w:t>
      </w:r>
      <w:r>
        <w:rPr>
          <w:b/>
          <w:w w:val="105"/>
        </w:rPr>
        <w:t xml:space="preserve">fee </w:t>
      </w:r>
      <w:r w:rsidRPr="001F6B04">
        <w:t>calculated in accordance with paragraph 2(4).</w:t>
      </w:r>
    </w:p>
    <w:p w14:paraId="37175E9F" w14:textId="77777777" w:rsidR="003101CC" w:rsidRDefault="003101CC" w:rsidP="00575C4B">
      <w:pPr>
        <w:pStyle w:val="REG-P0"/>
      </w:pPr>
    </w:p>
    <w:p w14:paraId="1695D687" w14:textId="77777777" w:rsidR="003101CC" w:rsidRPr="001F6B04" w:rsidRDefault="00206481" w:rsidP="00575C4B">
      <w:pPr>
        <w:pStyle w:val="REG-Pa"/>
      </w:pPr>
      <w:r w:rsidRPr="001F6B04">
        <w:t>(b)</w:t>
      </w:r>
      <w:r w:rsidR="00575C4B" w:rsidRPr="001F6B04">
        <w:tab/>
      </w:r>
      <w:r w:rsidRPr="001F6B04">
        <w:t>The</w:t>
      </w:r>
      <w:r w:rsidRPr="00575C4B">
        <w:t xml:space="preserve"> </w:t>
      </w:r>
      <w:r w:rsidRPr="00575C4B">
        <w:rPr>
          <w:b/>
        </w:rPr>
        <w:t>fee</w:t>
      </w:r>
      <w:r w:rsidRPr="00575C4B">
        <w:t xml:space="preserve"> </w:t>
      </w:r>
      <w:r w:rsidRPr="001F6B04">
        <w:t>for preparing valuations for the assessment of taxation, fire, insurance, expropriation, rental return and similar purposes, shall be as follows -</w:t>
      </w:r>
    </w:p>
    <w:p w14:paraId="0D53A794" w14:textId="77777777" w:rsidR="00575C4B" w:rsidRPr="00575C4B" w:rsidRDefault="00575C4B" w:rsidP="00575C4B">
      <w:pPr>
        <w:pStyle w:val="REG-Pa"/>
      </w:pPr>
    </w:p>
    <w:p w14:paraId="5D508486" w14:textId="77777777" w:rsidR="003101CC" w:rsidRPr="001F6B04" w:rsidRDefault="00206481" w:rsidP="001F6B04">
      <w:pPr>
        <w:pStyle w:val="REG-Pi"/>
      </w:pPr>
      <w:r w:rsidRPr="001F6B04">
        <w:t>(i)</w:t>
      </w:r>
      <w:r w:rsidR="00575C4B" w:rsidRPr="001F6B04">
        <w:tab/>
      </w:r>
      <w:r w:rsidRPr="001F6B04">
        <w:t xml:space="preserve">where suitable drawings are available for the determination of measurements, 2 per cent of the </w:t>
      </w:r>
      <w:r w:rsidRPr="001F6B04">
        <w:rPr>
          <w:b/>
        </w:rPr>
        <w:t>fee</w:t>
      </w:r>
      <w:r w:rsidRPr="001F6B04">
        <w:t xml:space="preserve"> calculated in accordance with paragraph 2(4) (exclusions mentioned in paragraph (c) of the definition of </w:t>
      </w:r>
      <w:r w:rsidR="00575C4B" w:rsidRPr="001F6B04">
        <w:t>“</w:t>
      </w:r>
      <w:r w:rsidRPr="001F6B04">
        <w:t>final value of the contract</w:t>
      </w:r>
      <w:r w:rsidR="00575C4B" w:rsidRPr="001F6B04">
        <w:t>”</w:t>
      </w:r>
      <w:r w:rsidRPr="001F6B04">
        <w:t xml:space="preserve"> as set out in  paragraph </w:t>
      </w:r>
      <w:r w:rsidR="00575C4B" w:rsidRPr="001F6B04">
        <w:t xml:space="preserve">1 </w:t>
      </w:r>
      <w:r w:rsidRPr="001F6B04">
        <w:t>not applicable);</w:t>
      </w:r>
    </w:p>
    <w:p w14:paraId="74F8E583" w14:textId="77777777" w:rsidR="003101CC" w:rsidRDefault="003101CC" w:rsidP="001F6B04">
      <w:pPr>
        <w:pStyle w:val="REG-Pi"/>
      </w:pPr>
    </w:p>
    <w:p w14:paraId="0B89D4D2" w14:textId="77777777" w:rsidR="003101CC" w:rsidRDefault="00206481" w:rsidP="001F6B04">
      <w:pPr>
        <w:pStyle w:val="REG-Pi"/>
      </w:pPr>
      <w:r>
        <w:rPr>
          <w:w w:val="105"/>
        </w:rPr>
        <w:t>(ii)</w:t>
      </w:r>
      <w:r>
        <w:rPr>
          <w:w w:val="105"/>
        </w:rPr>
        <w:tab/>
        <w:t>where such drawings are not available and measurements are determined</w:t>
      </w:r>
      <w:r>
        <w:rPr>
          <w:spacing w:val="-24"/>
          <w:w w:val="105"/>
        </w:rPr>
        <w:t xml:space="preserve"> </w:t>
      </w:r>
      <w:r>
        <w:rPr>
          <w:w w:val="105"/>
        </w:rPr>
        <w:t>on</w:t>
      </w:r>
      <w:r>
        <w:rPr>
          <w:spacing w:val="-28"/>
          <w:w w:val="105"/>
        </w:rPr>
        <w:t xml:space="preserve"> </w:t>
      </w:r>
      <w:r>
        <w:rPr>
          <w:w w:val="105"/>
        </w:rPr>
        <w:t>site,</w:t>
      </w:r>
      <w:r>
        <w:rPr>
          <w:spacing w:val="-26"/>
          <w:w w:val="105"/>
        </w:rPr>
        <w:t xml:space="preserve"> </w:t>
      </w:r>
      <w:r>
        <w:rPr>
          <w:w w:val="105"/>
        </w:rPr>
        <w:t>3,5</w:t>
      </w:r>
      <w:r>
        <w:rPr>
          <w:spacing w:val="-28"/>
          <w:w w:val="105"/>
        </w:rPr>
        <w:t xml:space="preserve"> </w:t>
      </w:r>
      <w:r>
        <w:rPr>
          <w:w w:val="105"/>
        </w:rPr>
        <w:t>per</w:t>
      </w:r>
      <w:r>
        <w:rPr>
          <w:spacing w:val="-29"/>
          <w:w w:val="105"/>
        </w:rPr>
        <w:t xml:space="preserve"> </w:t>
      </w:r>
      <w:r>
        <w:rPr>
          <w:w w:val="105"/>
        </w:rPr>
        <w:t>cent</w:t>
      </w:r>
      <w:r>
        <w:rPr>
          <w:spacing w:val="-28"/>
          <w:w w:val="105"/>
        </w:rPr>
        <w:t xml:space="preserve"> </w:t>
      </w:r>
      <w:r>
        <w:rPr>
          <w:w w:val="105"/>
        </w:rPr>
        <w:t>of</w:t>
      </w:r>
      <w:r>
        <w:rPr>
          <w:spacing w:val="-18"/>
          <w:w w:val="105"/>
        </w:rPr>
        <w:t xml:space="preserve"> </w:t>
      </w:r>
      <w:r>
        <w:rPr>
          <w:w w:val="105"/>
        </w:rPr>
        <w:t>the</w:t>
      </w:r>
      <w:r>
        <w:rPr>
          <w:spacing w:val="-31"/>
          <w:w w:val="105"/>
        </w:rPr>
        <w:t xml:space="preserve"> </w:t>
      </w:r>
      <w:r>
        <w:rPr>
          <w:b/>
          <w:w w:val="105"/>
        </w:rPr>
        <w:t>fee</w:t>
      </w:r>
      <w:r>
        <w:rPr>
          <w:b/>
          <w:spacing w:val="-31"/>
          <w:w w:val="105"/>
        </w:rPr>
        <w:t xml:space="preserve"> </w:t>
      </w:r>
      <w:r>
        <w:rPr>
          <w:w w:val="105"/>
        </w:rPr>
        <w:t>calculated</w:t>
      </w:r>
      <w:r>
        <w:rPr>
          <w:spacing w:val="-19"/>
          <w:w w:val="105"/>
        </w:rPr>
        <w:t xml:space="preserve"> </w:t>
      </w:r>
      <w:r>
        <w:rPr>
          <w:w w:val="105"/>
        </w:rPr>
        <w:t>in</w:t>
      </w:r>
      <w:r>
        <w:rPr>
          <w:spacing w:val="-26"/>
          <w:w w:val="105"/>
        </w:rPr>
        <w:t xml:space="preserve"> </w:t>
      </w:r>
      <w:r>
        <w:rPr>
          <w:w w:val="105"/>
        </w:rPr>
        <w:t>accordance with</w:t>
      </w:r>
      <w:r>
        <w:rPr>
          <w:spacing w:val="-24"/>
          <w:w w:val="105"/>
        </w:rPr>
        <w:t xml:space="preserve"> </w:t>
      </w:r>
      <w:r>
        <w:rPr>
          <w:w w:val="105"/>
        </w:rPr>
        <w:t>paragraph</w:t>
      </w:r>
      <w:r>
        <w:rPr>
          <w:spacing w:val="-20"/>
          <w:w w:val="105"/>
        </w:rPr>
        <w:t xml:space="preserve"> </w:t>
      </w:r>
      <w:r>
        <w:rPr>
          <w:w w:val="105"/>
        </w:rPr>
        <w:t>2(4)</w:t>
      </w:r>
      <w:r>
        <w:rPr>
          <w:spacing w:val="-32"/>
          <w:w w:val="105"/>
        </w:rPr>
        <w:t xml:space="preserve"> </w:t>
      </w:r>
      <w:r>
        <w:rPr>
          <w:w w:val="105"/>
        </w:rPr>
        <w:t>(exclusions</w:t>
      </w:r>
      <w:r>
        <w:rPr>
          <w:spacing w:val="-19"/>
          <w:w w:val="105"/>
        </w:rPr>
        <w:t xml:space="preserve"> </w:t>
      </w:r>
      <w:r>
        <w:rPr>
          <w:w w:val="105"/>
        </w:rPr>
        <w:t>mentioned</w:t>
      </w:r>
      <w:r>
        <w:rPr>
          <w:spacing w:val="-23"/>
          <w:w w:val="105"/>
        </w:rPr>
        <w:t xml:space="preserve"> </w:t>
      </w:r>
      <w:r>
        <w:rPr>
          <w:w w:val="105"/>
        </w:rPr>
        <w:t>in</w:t>
      </w:r>
      <w:r>
        <w:rPr>
          <w:spacing w:val="-30"/>
          <w:w w:val="105"/>
        </w:rPr>
        <w:t xml:space="preserve"> </w:t>
      </w:r>
      <w:r>
        <w:rPr>
          <w:w w:val="105"/>
        </w:rPr>
        <w:t>paragraph</w:t>
      </w:r>
      <w:r>
        <w:rPr>
          <w:spacing w:val="-15"/>
          <w:w w:val="105"/>
        </w:rPr>
        <w:t xml:space="preserve"> </w:t>
      </w:r>
      <w:r>
        <w:rPr>
          <w:w w:val="105"/>
        </w:rPr>
        <w:t>(c)</w:t>
      </w:r>
      <w:r>
        <w:rPr>
          <w:spacing w:val="-31"/>
          <w:w w:val="105"/>
        </w:rPr>
        <w:t xml:space="preserve"> </w:t>
      </w:r>
      <w:r>
        <w:rPr>
          <w:w w:val="105"/>
        </w:rPr>
        <w:t>of</w:t>
      </w:r>
      <w:r>
        <w:rPr>
          <w:spacing w:val="-19"/>
          <w:w w:val="105"/>
        </w:rPr>
        <w:t xml:space="preserve"> </w:t>
      </w:r>
      <w:r>
        <w:rPr>
          <w:w w:val="105"/>
        </w:rPr>
        <w:t>the definition</w:t>
      </w:r>
      <w:r>
        <w:rPr>
          <w:spacing w:val="-9"/>
          <w:w w:val="105"/>
        </w:rPr>
        <w:t xml:space="preserve"> </w:t>
      </w:r>
      <w:r>
        <w:rPr>
          <w:w w:val="105"/>
        </w:rPr>
        <w:t>of</w:t>
      </w:r>
      <w:r>
        <w:rPr>
          <w:spacing w:val="-20"/>
          <w:w w:val="105"/>
        </w:rPr>
        <w:t xml:space="preserve"> </w:t>
      </w:r>
      <w:r>
        <w:rPr>
          <w:w w:val="105"/>
        </w:rPr>
        <w:t>“final</w:t>
      </w:r>
      <w:r>
        <w:rPr>
          <w:spacing w:val="-1"/>
          <w:w w:val="105"/>
        </w:rPr>
        <w:t xml:space="preserve"> </w:t>
      </w:r>
      <w:r>
        <w:rPr>
          <w:w w:val="105"/>
        </w:rPr>
        <w:t>value</w:t>
      </w:r>
      <w:r>
        <w:rPr>
          <w:spacing w:val="-24"/>
          <w:w w:val="105"/>
        </w:rPr>
        <w:t xml:space="preserve"> </w:t>
      </w:r>
      <w:r>
        <w:rPr>
          <w:w w:val="105"/>
        </w:rPr>
        <w:t>of</w:t>
      </w:r>
      <w:r>
        <w:rPr>
          <w:spacing w:val="-11"/>
          <w:w w:val="105"/>
        </w:rPr>
        <w:t xml:space="preserve"> </w:t>
      </w:r>
      <w:r>
        <w:rPr>
          <w:w w:val="105"/>
        </w:rPr>
        <w:t>the</w:t>
      </w:r>
      <w:r>
        <w:rPr>
          <w:spacing w:val="-24"/>
          <w:w w:val="105"/>
        </w:rPr>
        <w:t xml:space="preserve"> </w:t>
      </w:r>
      <w:r>
        <w:rPr>
          <w:w w:val="105"/>
        </w:rPr>
        <w:t>contract”</w:t>
      </w:r>
      <w:r>
        <w:rPr>
          <w:spacing w:val="-20"/>
          <w:w w:val="105"/>
        </w:rPr>
        <w:t xml:space="preserve"> </w:t>
      </w:r>
      <w:r>
        <w:rPr>
          <w:w w:val="105"/>
        </w:rPr>
        <w:t>as</w:t>
      </w:r>
      <w:r>
        <w:rPr>
          <w:spacing w:val="-23"/>
          <w:w w:val="105"/>
        </w:rPr>
        <w:t xml:space="preserve"> </w:t>
      </w:r>
      <w:r>
        <w:rPr>
          <w:w w:val="105"/>
        </w:rPr>
        <w:t>set</w:t>
      </w:r>
      <w:r>
        <w:rPr>
          <w:spacing w:val="-22"/>
          <w:w w:val="105"/>
        </w:rPr>
        <w:t xml:space="preserve"> </w:t>
      </w:r>
      <w:r>
        <w:rPr>
          <w:w w:val="105"/>
        </w:rPr>
        <w:t>out</w:t>
      </w:r>
      <w:r>
        <w:rPr>
          <w:spacing w:val="-22"/>
          <w:w w:val="105"/>
        </w:rPr>
        <w:t xml:space="preserve"> </w:t>
      </w:r>
      <w:r>
        <w:rPr>
          <w:w w:val="105"/>
        </w:rPr>
        <w:t>in</w:t>
      </w:r>
      <w:r>
        <w:rPr>
          <w:spacing w:val="-17"/>
          <w:w w:val="105"/>
        </w:rPr>
        <w:t xml:space="preserve"> </w:t>
      </w:r>
      <w:r>
        <w:rPr>
          <w:w w:val="105"/>
        </w:rPr>
        <w:t>paragraph</w:t>
      </w:r>
      <w:r>
        <w:rPr>
          <w:spacing w:val="-5"/>
          <w:w w:val="105"/>
        </w:rPr>
        <w:t xml:space="preserve"> </w:t>
      </w:r>
      <w:r>
        <w:rPr>
          <w:w w:val="105"/>
        </w:rPr>
        <w:t>1 not</w:t>
      </w:r>
      <w:r>
        <w:rPr>
          <w:spacing w:val="-2"/>
          <w:w w:val="105"/>
        </w:rPr>
        <w:t xml:space="preserve"> </w:t>
      </w:r>
      <w:r>
        <w:rPr>
          <w:w w:val="105"/>
        </w:rPr>
        <w:t>applicable);</w:t>
      </w:r>
    </w:p>
    <w:p w14:paraId="41B62414" w14:textId="77777777" w:rsidR="003101CC" w:rsidRPr="001F6B04" w:rsidRDefault="003101CC" w:rsidP="001F6B04">
      <w:pPr>
        <w:pStyle w:val="REG-Pi"/>
      </w:pPr>
    </w:p>
    <w:p w14:paraId="0392D80E" w14:textId="77777777" w:rsidR="003101CC" w:rsidRPr="001F6B04" w:rsidRDefault="00206481" w:rsidP="001F6B04">
      <w:pPr>
        <w:pStyle w:val="REG-Pi"/>
      </w:pPr>
      <w:r w:rsidRPr="001F6B04">
        <w:t>(iii)</w:t>
      </w:r>
      <w:r w:rsidRPr="001F6B04">
        <w:tab/>
        <w:t xml:space="preserve">where the quantity surveyor considers that sufficient accuracy for the particular purpose can be achieved by the application of a square metre rate to the overall area on plan, 50 per cent of the </w:t>
      </w:r>
      <w:r w:rsidRPr="001F6B04">
        <w:rPr>
          <w:b/>
        </w:rPr>
        <w:t>fee</w:t>
      </w:r>
      <w:r w:rsidRPr="001F6B04">
        <w:t xml:space="preserve"> calculated in accordance with subparagraph (i) or (ii), as the case may be; or</w:t>
      </w:r>
    </w:p>
    <w:p w14:paraId="33773AD2" w14:textId="77777777" w:rsidR="003101CC" w:rsidRPr="001F6B04" w:rsidRDefault="003101CC" w:rsidP="001F6B04">
      <w:pPr>
        <w:pStyle w:val="REG-Pi"/>
      </w:pPr>
    </w:p>
    <w:p w14:paraId="00186ACD" w14:textId="77777777" w:rsidR="003101CC" w:rsidRPr="001F6B04" w:rsidRDefault="00206481" w:rsidP="001F6B04">
      <w:pPr>
        <w:pStyle w:val="REG-Pi"/>
      </w:pPr>
      <w:r w:rsidRPr="001F6B04">
        <w:t>(iv)</w:t>
      </w:r>
      <w:r w:rsidRPr="001F6B04">
        <w:tab/>
        <w:t xml:space="preserve">where the </w:t>
      </w:r>
      <w:r w:rsidRPr="001F6B04">
        <w:rPr>
          <w:b/>
        </w:rPr>
        <w:t>fee</w:t>
      </w:r>
      <w:r w:rsidRPr="001F6B04">
        <w:t xml:space="preserve"> as determined in subparagraph (i), (ii) or (iii) is considered to be inappropriate, a time charge as determined in subparagraph (13).</w:t>
      </w:r>
    </w:p>
    <w:p w14:paraId="43C5EC26" w14:textId="77777777" w:rsidR="003101CC" w:rsidRDefault="003101CC" w:rsidP="00575C4B">
      <w:pPr>
        <w:pStyle w:val="REG-P0"/>
      </w:pPr>
    </w:p>
    <w:p w14:paraId="1B01580F" w14:textId="77777777" w:rsidR="003101CC" w:rsidRPr="00575C4B" w:rsidRDefault="00206481" w:rsidP="00575C4B">
      <w:pPr>
        <w:pStyle w:val="REG-P0"/>
        <w:rPr>
          <w:b/>
        </w:rPr>
      </w:pPr>
      <w:r w:rsidRPr="00575C4B">
        <w:rPr>
          <w:b/>
          <w:w w:val="105"/>
        </w:rPr>
        <w:t>Time charge</w:t>
      </w:r>
    </w:p>
    <w:p w14:paraId="1D9BE7EE" w14:textId="77777777" w:rsidR="003101CC" w:rsidRDefault="003101CC" w:rsidP="00575C4B">
      <w:pPr>
        <w:pStyle w:val="REG-P0"/>
        <w:rPr>
          <w:b/>
          <w:sz w:val="25"/>
        </w:rPr>
      </w:pPr>
    </w:p>
    <w:p w14:paraId="011D5CF2" w14:textId="77777777" w:rsidR="003101CC" w:rsidRPr="001F6B04" w:rsidRDefault="00206481" w:rsidP="00575C4B">
      <w:pPr>
        <w:pStyle w:val="REG-P1"/>
      </w:pPr>
      <w:r w:rsidRPr="001F6B04">
        <w:t>(13)</w:t>
      </w:r>
      <w:r w:rsidRPr="001F6B04">
        <w:tab/>
        <w:t>Where the work is of such a nature that other provisions of this tariff of fees do not apply, the</w:t>
      </w:r>
      <w:r>
        <w:t xml:space="preserve"> </w:t>
      </w:r>
      <w:r>
        <w:rPr>
          <w:b/>
        </w:rPr>
        <w:t xml:space="preserve">fee </w:t>
      </w:r>
      <w:r w:rsidRPr="001F6B04">
        <w:t>shall be a time charge at the following rates per hour or part thereof -</w:t>
      </w:r>
    </w:p>
    <w:p w14:paraId="5E836E54" w14:textId="77777777" w:rsidR="003101CC" w:rsidRDefault="003101CC" w:rsidP="00575C4B">
      <w:pPr>
        <w:pStyle w:val="REG-P0"/>
        <w:rPr>
          <w:sz w:val="23"/>
        </w:rPr>
      </w:pPr>
    </w:p>
    <w:p w14:paraId="732C721E" w14:textId="77777777" w:rsidR="003101CC" w:rsidRPr="001F6B04" w:rsidRDefault="00206481" w:rsidP="001F6B04">
      <w:pPr>
        <w:pStyle w:val="REG-Pa"/>
      </w:pPr>
      <w:r w:rsidRPr="001F6B04">
        <w:t>(a)</w:t>
      </w:r>
      <w:r w:rsidRPr="001F6B04">
        <w:tab/>
        <w:t>principals: at rates to be determined from time to time by the Namibia Council for Architects and Quantity Surveyors;</w:t>
      </w:r>
    </w:p>
    <w:p w14:paraId="0B22D9E5" w14:textId="77777777" w:rsidR="003101CC" w:rsidRPr="001F6B04" w:rsidRDefault="003101CC" w:rsidP="001F6B04">
      <w:pPr>
        <w:pStyle w:val="REG-Pa"/>
      </w:pPr>
    </w:p>
    <w:p w14:paraId="530DD65F" w14:textId="77777777" w:rsidR="003101CC" w:rsidRPr="001F6B04" w:rsidRDefault="00206481" w:rsidP="001F6B04">
      <w:pPr>
        <w:pStyle w:val="REG-Pa"/>
      </w:pPr>
      <w:r w:rsidRPr="001F6B04">
        <w:t>(b)</w:t>
      </w:r>
      <w:r w:rsidRPr="001F6B04">
        <w:tab/>
        <w:t xml:space="preserve">salaried personnel: 15 cents for each N$100,00 of </w:t>
      </w:r>
      <w:r w:rsidRPr="001F6B04">
        <w:rPr>
          <w:b/>
        </w:rPr>
        <w:t>gross annual remuneration</w:t>
      </w:r>
      <w:r w:rsidRPr="001F6B04">
        <w:t xml:space="preserve"> applicable at the time the service is rendered.</w:t>
      </w:r>
    </w:p>
    <w:p w14:paraId="54E5CC7B" w14:textId="77777777" w:rsidR="00575C4B" w:rsidRPr="001F6B04" w:rsidRDefault="00575C4B" w:rsidP="001F6B04">
      <w:pPr>
        <w:pStyle w:val="REG-Pa"/>
      </w:pPr>
    </w:p>
    <w:p w14:paraId="0EE27FF3" w14:textId="77777777" w:rsidR="00575C4B" w:rsidRPr="002D499F" w:rsidRDefault="00206481" w:rsidP="00575C4B">
      <w:pPr>
        <w:pStyle w:val="REG-Amend"/>
      </w:pPr>
      <w:r>
        <w:t>[</w:t>
      </w:r>
      <w:r w:rsidR="00404B67">
        <w:t xml:space="preserve">The </w:t>
      </w:r>
      <w:r w:rsidR="00120A00">
        <w:t>heading</w:t>
      </w:r>
      <w:r>
        <w:t xml:space="preserve"> </w:t>
      </w:r>
      <w:r w:rsidR="00404B67">
        <w:t xml:space="preserve">above item </w:t>
      </w:r>
      <w:r w:rsidR="002D499F">
        <w:t xml:space="preserve">(13) </w:t>
      </w:r>
      <w:r w:rsidR="00404B67">
        <w:t xml:space="preserve">appears </w:t>
      </w:r>
      <w:r w:rsidR="002D499F">
        <w:t xml:space="preserve">in the </w:t>
      </w:r>
      <w:r w:rsidR="002D499F">
        <w:rPr>
          <w:i/>
        </w:rPr>
        <w:t>Government Gazette</w:t>
      </w:r>
      <w:r w:rsidR="002D499F">
        <w:t xml:space="preserve"> as reproduced above</w:t>
      </w:r>
      <w:r w:rsidR="00404B67">
        <w:t>.</w:t>
      </w:r>
      <w:r w:rsidR="002D499F">
        <w:t>]</w:t>
      </w:r>
    </w:p>
    <w:p w14:paraId="22534B05" w14:textId="77777777" w:rsidR="003101CC" w:rsidRDefault="003101CC" w:rsidP="00575C4B">
      <w:pPr>
        <w:pStyle w:val="REG-P0"/>
      </w:pPr>
    </w:p>
    <w:p w14:paraId="7071CC11" w14:textId="77777777" w:rsidR="003101CC" w:rsidRPr="002D499F" w:rsidRDefault="00206481" w:rsidP="00575C4B">
      <w:pPr>
        <w:pStyle w:val="REG-P0"/>
        <w:rPr>
          <w:b/>
        </w:rPr>
      </w:pPr>
      <w:r w:rsidRPr="002D499F">
        <w:rPr>
          <w:b/>
          <w:w w:val="105"/>
        </w:rPr>
        <w:t>Disbursement and travelling expenses</w:t>
      </w:r>
    </w:p>
    <w:p w14:paraId="58AE8C6E" w14:textId="77777777" w:rsidR="003101CC" w:rsidRDefault="003101CC" w:rsidP="002D499F">
      <w:pPr>
        <w:pStyle w:val="REG-P1"/>
      </w:pPr>
    </w:p>
    <w:p w14:paraId="3B4E334D" w14:textId="77777777" w:rsidR="003101CC" w:rsidRPr="00404B67" w:rsidRDefault="00206481" w:rsidP="002D499F">
      <w:pPr>
        <w:pStyle w:val="REG-P1"/>
      </w:pPr>
      <w:r>
        <w:rPr>
          <w:b/>
        </w:rPr>
        <w:t>3.</w:t>
      </w:r>
      <w:r>
        <w:rPr>
          <w:b/>
        </w:rPr>
        <w:tab/>
      </w:r>
      <w:r w:rsidRPr="00404B67">
        <w:t>(1)</w:t>
      </w:r>
      <w:r w:rsidRPr="00404B67">
        <w:tab/>
        <w:t>For</w:t>
      </w:r>
      <w:r>
        <w:t xml:space="preserve"> </w:t>
      </w:r>
      <w:r w:rsidRPr="002D499F">
        <w:rPr>
          <w:b/>
        </w:rPr>
        <w:t>disbursements</w:t>
      </w:r>
      <w:r>
        <w:t xml:space="preserve"> </w:t>
      </w:r>
      <w:r w:rsidRPr="00404B67">
        <w:t>and for reasonable travelling and subsistence expenses additional payment shall be claimed over and above the</w:t>
      </w:r>
      <w:r>
        <w:t xml:space="preserve"> </w:t>
      </w:r>
      <w:r w:rsidRPr="002D499F">
        <w:rPr>
          <w:b/>
        </w:rPr>
        <w:t>fee</w:t>
      </w:r>
      <w:r>
        <w:t xml:space="preserve"> </w:t>
      </w:r>
      <w:r w:rsidRPr="00404B67">
        <w:t>payable under any other provision of this tariff of professional fees.</w:t>
      </w:r>
    </w:p>
    <w:p w14:paraId="4212D48F" w14:textId="77777777" w:rsidR="003101CC" w:rsidRDefault="003101CC" w:rsidP="002D499F">
      <w:pPr>
        <w:pStyle w:val="REG-P1"/>
        <w:rPr>
          <w:sz w:val="23"/>
        </w:rPr>
      </w:pPr>
    </w:p>
    <w:p w14:paraId="677145A4" w14:textId="77777777" w:rsidR="003101CC" w:rsidRPr="00404B67" w:rsidRDefault="00206481" w:rsidP="002D499F">
      <w:pPr>
        <w:pStyle w:val="REG-P1"/>
      </w:pPr>
      <w:r w:rsidRPr="00404B67">
        <w:t>(2)</w:t>
      </w:r>
      <w:r w:rsidRPr="00404B67">
        <w:tab/>
        <w:t>Where payment is effected on a percentage basis and the contract site is situated further than 2</w:t>
      </w:r>
      <w:r w:rsidR="00864B7E" w:rsidRPr="00404B67">
        <w:t>5 km from the quantity surveyor’</w:t>
      </w:r>
      <w:r w:rsidRPr="00404B67">
        <w:t>s place of practice, a</w:t>
      </w:r>
      <w:r>
        <w:t xml:space="preserve"> </w:t>
      </w:r>
      <w:r w:rsidRPr="002D499F">
        <w:rPr>
          <w:b/>
        </w:rPr>
        <w:t>fee</w:t>
      </w:r>
      <w:r>
        <w:t xml:space="preserve"> </w:t>
      </w:r>
      <w:r w:rsidRPr="00404B67">
        <w:t>in respect of travelling time shall be levied at the rate as determined in paragraph 2(13).</w:t>
      </w:r>
    </w:p>
    <w:p w14:paraId="7F89A0A8" w14:textId="77777777" w:rsidR="003101CC" w:rsidRDefault="003101CC" w:rsidP="002D499F">
      <w:pPr>
        <w:pStyle w:val="REG-P1"/>
      </w:pPr>
    </w:p>
    <w:p w14:paraId="5DE54571" w14:textId="77777777" w:rsidR="003101CC" w:rsidRPr="00404B67" w:rsidRDefault="00206481" w:rsidP="00404B67">
      <w:pPr>
        <w:pStyle w:val="REG-P1"/>
      </w:pPr>
      <w:r w:rsidRPr="00404B67">
        <w:t>(3)</w:t>
      </w:r>
      <w:r w:rsidRPr="00404B67">
        <w:tab/>
        <w:t>Where payment is effected on a basis of time, travelling time shall be charged in full at the rate as determined in paragraph 2(13).</w:t>
      </w:r>
    </w:p>
    <w:p w14:paraId="3FA5D5FE" w14:textId="77777777" w:rsidR="003101CC" w:rsidRDefault="003101CC" w:rsidP="00575C4B">
      <w:pPr>
        <w:pStyle w:val="REG-P0"/>
      </w:pPr>
    </w:p>
    <w:p w14:paraId="580F5839" w14:textId="77777777" w:rsidR="003101CC" w:rsidRPr="002D499F" w:rsidRDefault="00206481" w:rsidP="00575C4B">
      <w:pPr>
        <w:pStyle w:val="REG-P0"/>
        <w:rPr>
          <w:b/>
        </w:rPr>
      </w:pPr>
      <w:r w:rsidRPr="002D499F">
        <w:rPr>
          <w:b/>
          <w:w w:val="105"/>
        </w:rPr>
        <w:t>Interim payment of fees</w:t>
      </w:r>
    </w:p>
    <w:p w14:paraId="5FB87293" w14:textId="77777777" w:rsidR="003101CC" w:rsidRDefault="003101CC" w:rsidP="00575C4B">
      <w:pPr>
        <w:pStyle w:val="REG-P0"/>
        <w:rPr>
          <w:b/>
          <w:sz w:val="30"/>
        </w:rPr>
      </w:pPr>
    </w:p>
    <w:p w14:paraId="42105282" w14:textId="77777777" w:rsidR="003101CC" w:rsidRPr="00404B67" w:rsidRDefault="00206481" w:rsidP="00404B67">
      <w:pPr>
        <w:pStyle w:val="REG-P1"/>
      </w:pPr>
      <w:r>
        <w:rPr>
          <w:b/>
          <w:w w:val="105"/>
        </w:rPr>
        <w:t>4.</w:t>
      </w:r>
      <w:r>
        <w:rPr>
          <w:b/>
          <w:w w:val="105"/>
        </w:rPr>
        <w:tab/>
      </w:r>
      <w:r w:rsidRPr="00404B67">
        <w:t xml:space="preserve">(1) The quantity surveyor shall be entitled to payment, upon submission of an account, of a </w:t>
      </w:r>
      <w:r>
        <w:rPr>
          <w:b/>
          <w:w w:val="105"/>
        </w:rPr>
        <w:t>fee</w:t>
      </w:r>
      <w:r>
        <w:rPr>
          <w:b/>
          <w:spacing w:val="-6"/>
          <w:w w:val="105"/>
        </w:rPr>
        <w:t xml:space="preserve"> </w:t>
      </w:r>
      <w:r>
        <w:rPr>
          <w:w w:val="105"/>
        </w:rPr>
        <w:t>on</w:t>
      </w:r>
      <w:r>
        <w:rPr>
          <w:spacing w:val="-2"/>
          <w:w w:val="105"/>
        </w:rPr>
        <w:t xml:space="preserve"> </w:t>
      </w:r>
      <w:r>
        <w:rPr>
          <w:w w:val="105"/>
        </w:rPr>
        <w:t>completion</w:t>
      </w:r>
      <w:r>
        <w:rPr>
          <w:spacing w:val="9"/>
          <w:w w:val="105"/>
        </w:rPr>
        <w:t xml:space="preserve"> </w:t>
      </w:r>
      <w:r>
        <w:rPr>
          <w:w w:val="105"/>
        </w:rPr>
        <w:t>of</w:t>
      </w:r>
      <w:r>
        <w:rPr>
          <w:spacing w:val="-4"/>
          <w:w w:val="105"/>
        </w:rPr>
        <w:t xml:space="preserve"> </w:t>
      </w:r>
      <w:r>
        <w:rPr>
          <w:b/>
          <w:w w:val="105"/>
        </w:rPr>
        <w:t>stage</w:t>
      </w:r>
      <w:r>
        <w:rPr>
          <w:b/>
          <w:spacing w:val="-14"/>
          <w:w w:val="105"/>
        </w:rPr>
        <w:t xml:space="preserve"> </w:t>
      </w:r>
      <w:r>
        <w:rPr>
          <w:b/>
          <w:w w:val="105"/>
        </w:rPr>
        <w:t>A,</w:t>
      </w:r>
      <w:r>
        <w:rPr>
          <w:b/>
          <w:spacing w:val="-12"/>
          <w:w w:val="105"/>
        </w:rPr>
        <w:t xml:space="preserve"> </w:t>
      </w:r>
      <w:r>
        <w:rPr>
          <w:b/>
          <w:w w:val="105"/>
        </w:rPr>
        <w:t>stage</w:t>
      </w:r>
      <w:r>
        <w:rPr>
          <w:b/>
          <w:spacing w:val="-5"/>
          <w:w w:val="105"/>
        </w:rPr>
        <w:t xml:space="preserve"> </w:t>
      </w:r>
      <w:r>
        <w:rPr>
          <w:b/>
          <w:w w:val="105"/>
        </w:rPr>
        <w:t>B,</w:t>
      </w:r>
      <w:r>
        <w:rPr>
          <w:b/>
          <w:spacing w:val="-14"/>
          <w:w w:val="105"/>
        </w:rPr>
        <w:t xml:space="preserve"> </w:t>
      </w:r>
      <w:r>
        <w:rPr>
          <w:b/>
          <w:w w:val="105"/>
        </w:rPr>
        <w:t>stage C</w:t>
      </w:r>
      <w:r>
        <w:rPr>
          <w:b/>
          <w:spacing w:val="-10"/>
          <w:w w:val="105"/>
        </w:rPr>
        <w:t xml:space="preserve"> </w:t>
      </w:r>
      <w:r>
        <w:rPr>
          <w:w w:val="105"/>
        </w:rPr>
        <w:t xml:space="preserve">and </w:t>
      </w:r>
      <w:r>
        <w:rPr>
          <w:b/>
          <w:w w:val="105"/>
        </w:rPr>
        <w:t>stage D</w:t>
      </w:r>
      <w:r>
        <w:rPr>
          <w:b/>
          <w:spacing w:val="-6"/>
          <w:w w:val="105"/>
        </w:rPr>
        <w:t xml:space="preserve"> </w:t>
      </w:r>
      <w:r w:rsidRPr="00404B67">
        <w:t>respectively.</w:t>
      </w:r>
    </w:p>
    <w:p w14:paraId="073A2EA8" w14:textId="77777777" w:rsidR="003101CC" w:rsidRPr="00404B67" w:rsidRDefault="003101CC" w:rsidP="00404B67">
      <w:pPr>
        <w:pStyle w:val="REG-P1"/>
      </w:pPr>
    </w:p>
    <w:p w14:paraId="5E1C85F2" w14:textId="77777777" w:rsidR="003101CC" w:rsidRPr="00404B67" w:rsidRDefault="00206481" w:rsidP="002D499F">
      <w:pPr>
        <w:pStyle w:val="REG-P1"/>
      </w:pPr>
      <w:r w:rsidRPr="00404B67">
        <w:t>(2)</w:t>
      </w:r>
      <w:r w:rsidR="002D499F">
        <w:tab/>
      </w:r>
      <w:r>
        <w:rPr>
          <w:b/>
        </w:rPr>
        <w:t xml:space="preserve">Stage B </w:t>
      </w:r>
      <w:r w:rsidRPr="00404B67">
        <w:t>shall be deemed to be completed irrespective of whether the documents for the procurement of sub-contracts have been prepared or not.</w:t>
      </w:r>
    </w:p>
    <w:p w14:paraId="074B877C" w14:textId="77777777" w:rsidR="003101CC" w:rsidRDefault="003101CC" w:rsidP="002D499F">
      <w:pPr>
        <w:pStyle w:val="REG-P1"/>
      </w:pPr>
    </w:p>
    <w:p w14:paraId="7799491B" w14:textId="77777777" w:rsidR="003101CC" w:rsidRPr="00C2463A" w:rsidRDefault="00206481" w:rsidP="002D499F">
      <w:pPr>
        <w:pStyle w:val="REG-P1"/>
        <w:rPr>
          <w:rFonts w:ascii="Arial"/>
          <w:sz w:val="20"/>
        </w:rPr>
      </w:pPr>
      <w:r w:rsidRPr="00C2463A">
        <w:rPr>
          <w:w w:val="105"/>
        </w:rPr>
        <w:t>(3)</w:t>
      </w:r>
      <w:r w:rsidRPr="00C2463A">
        <w:rPr>
          <w:w w:val="105"/>
        </w:rPr>
        <w:tab/>
        <w:t>The quantity surveyor shall be entitled to</w:t>
      </w:r>
      <w:r w:rsidRPr="00C2463A">
        <w:rPr>
          <w:spacing w:val="17"/>
          <w:w w:val="105"/>
        </w:rPr>
        <w:t xml:space="preserve"> </w:t>
      </w:r>
      <w:r w:rsidRPr="00C2463A">
        <w:rPr>
          <w:w w:val="105"/>
        </w:rPr>
        <w:t>-</w:t>
      </w:r>
    </w:p>
    <w:p w14:paraId="4E967F54" w14:textId="77777777" w:rsidR="003101CC" w:rsidRDefault="003101CC" w:rsidP="00575C4B">
      <w:pPr>
        <w:pStyle w:val="REG-P0"/>
        <w:rPr>
          <w:rFonts w:ascii="Arial"/>
        </w:rPr>
      </w:pPr>
    </w:p>
    <w:p w14:paraId="7E9F905B" w14:textId="77777777" w:rsidR="003101CC" w:rsidRPr="00404B67" w:rsidRDefault="00206481" w:rsidP="00404B67">
      <w:pPr>
        <w:pStyle w:val="REG-Pa"/>
      </w:pPr>
      <w:r w:rsidRPr="00404B67">
        <w:t>(a)</w:t>
      </w:r>
      <w:r w:rsidRPr="00404B67">
        <w:tab/>
        <w:t xml:space="preserve">regular monthly interim payments for </w:t>
      </w:r>
      <w:r w:rsidRPr="00404B67">
        <w:rPr>
          <w:b/>
        </w:rPr>
        <w:t>stage C</w:t>
      </w:r>
      <w:r w:rsidRPr="00404B67">
        <w:t>;</w:t>
      </w:r>
    </w:p>
    <w:p w14:paraId="4A71E0E7" w14:textId="77777777" w:rsidR="003101CC" w:rsidRPr="00404B67" w:rsidRDefault="003101CC" w:rsidP="00404B67">
      <w:pPr>
        <w:pStyle w:val="REG-Pa"/>
      </w:pPr>
    </w:p>
    <w:p w14:paraId="0DCDE2DA" w14:textId="77777777" w:rsidR="003101CC" w:rsidRPr="00404B67" w:rsidRDefault="00206481" w:rsidP="00404B67">
      <w:pPr>
        <w:pStyle w:val="REG-Pa"/>
      </w:pPr>
      <w:r w:rsidRPr="00404B67">
        <w:t>(b)</w:t>
      </w:r>
      <w:r w:rsidRPr="00404B67">
        <w:tab/>
        <w:t xml:space="preserve">interim payments for </w:t>
      </w:r>
      <w:r w:rsidRPr="00404B67">
        <w:rPr>
          <w:b/>
        </w:rPr>
        <w:t>stage D</w:t>
      </w:r>
      <w:r w:rsidRPr="00404B67">
        <w:t>; and</w:t>
      </w:r>
    </w:p>
    <w:p w14:paraId="2E846C02" w14:textId="77777777" w:rsidR="003101CC" w:rsidRPr="00404B67" w:rsidRDefault="003101CC" w:rsidP="00404B67">
      <w:pPr>
        <w:pStyle w:val="REG-Pa"/>
      </w:pPr>
    </w:p>
    <w:p w14:paraId="29306604" w14:textId="77777777" w:rsidR="003101CC" w:rsidRPr="00404B67" w:rsidRDefault="00206481" w:rsidP="00404B67">
      <w:pPr>
        <w:pStyle w:val="REG-Pa"/>
      </w:pPr>
      <w:r w:rsidRPr="00404B67">
        <w:t>(c)</w:t>
      </w:r>
      <w:r w:rsidRPr="00404B67">
        <w:tab/>
        <w:t xml:space="preserve">interim payments for work done in the event of the completion of </w:t>
      </w:r>
      <w:r w:rsidRPr="00404B67">
        <w:rPr>
          <w:b/>
        </w:rPr>
        <w:t>stage A</w:t>
      </w:r>
      <w:r w:rsidRPr="00404B67">
        <w:t xml:space="preserve">, </w:t>
      </w:r>
      <w:r w:rsidRPr="00404B67">
        <w:rPr>
          <w:b/>
        </w:rPr>
        <w:t>stage B</w:t>
      </w:r>
      <w:r w:rsidRPr="00404B67">
        <w:t xml:space="preserve">, </w:t>
      </w:r>
      <w:r w:rsidRPr="00404B67">
        <w:rPr>
          <w:b/>
        </w:rPr>
        <w:t>stage C</w:t>
      </w:r>
      <w:r w:rsidRPr="00404B67">
        <w:t xml:space="preserve"> and </w:t>
      </w:r>
      <w:r w:rsidRPr="00404B67">
        <w:rPr>
          <w:b/>
        </w:rPr>
        <w:t>stage D</w:t>
      </w:r>
      <w:r w:rsidRPr="00404B67">
        <w:t xml:space="preserve"> being delayed by circumstances beyond the control of the quantity surveyor.</w:t>
      </w:r>
    </w:p>
    <w:p w14:paraId="40C66066" w14:textId="77777777" w:rsidR="003101CC" w:rsidRDefault="003101CC" w:rsidP="00575C4B">
      <w:pPr>
        <w:pStyle w:val="REG-P0"/>
      </w:pPr>
    </w:p>
    <w:p w14:paraId="156D04B2" w14:textId="77777777" w:rsidR="003101CC" w:rsidRPr="002D499F" w:rsidRDefault="00206481" w:rsidP="00575C4B">
      <w:pPr>
        <w:pStyle w:val="REG-P0"/>
        <w:rPr>
          <w:b/>
        </w:rPr>
      </w:pPr>
      <w:r w:rsidRPr="002D499F">
        <w:rPr>
          <w:b/>
          <w:w w:val="105"/>
        </w:rPr>
        <w:t>Late payment of accounts</w:t>
      </w:r>
    </w:p>
    <w:p w14:paraId="1259D9C3" w14:textId="77777777" w:rsidR="003101CC" w:rsidRDefault="003101CC" w:rsidP="00575C4B">
      <w:pPr>
        <w:pStyle w:val="REG-P0"/>
        <w:rPr>
          <w:b/>
          <w:sz w:val="31"/>
        </w:rPr>
      </w:pPr>
    </w:p>
    <w:p w14:paraId="1C03D10E" w14:textId="51ED3AA5" w:rsidR="003101CC" w:rsidRDefault="00206481" w:rsidP="002D499F">
      <w:pPr>
        <w:pStyle w:val="REG-P1"/>
      </w:pPr>
      <w:r>
        <w:rPr>
          <w:b/>
        </w:rPr>
        <w:t>5.</w:t>
      </w:r>
      <w:r>
        <w:rPr>
          <w:b/>
        </w:rPr>
        <w:tab/>
      </w:r>
      <w:r w:rsidRPr="00404B67">
        <w:t>The quantity surveyor shall charge his client interest at a rate which is one tenth (1/10) above the rate of interest applicable from time to time to prime borrowers at the quantity surveyor</w:t>
      </w:r>
      <w:r w:rsidR="00864B7E" w:rsidRPr="00404B67">
        <w:t>’</w:t>
      </w:r>
      <w:r w:rsidRPr="00404B67">
        <w:t>s bank on all accounts, correct and due, not settled within 30 days of submission.</w:t>
      </w:r>
    </w:p>
    <w:p w14:paraId="14EF9A9E" w14:textId="3D2C6CDB" w:rsidR="009B2539" w:rsidRDefault="009B2539" w:rsidP="002D499F">
      <w:pPr>
        <w:pStyle w:val="REG-P1"/>
      </w:pPr>
    </w:p>
    <w:p w14:paraId="6C58DF01" w14:textId="69FD2715" w:rsidR="009B2539" w:rsidRPr="00404B67" w:rsidRDefault="009B2539" w:rsidP="009B2539">
      <w:pPr>
        <w:pStyle w:val="REG-Amend"/>
      </w:pPr>
      <w:r>
        <w:t>[The term “one-tenth” should be written with a hyphen.]</w:t>
      </w:r>
    </w:p>
    <w:sectPr w:rsidR="009B2539" w:rsidRPr="00404B67"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D4FC" w16cex:dateUtc="2021-07-07T05:23:00Z"/>
  <w16cex:commentExtensible w16cex:durableId="248FD862" w16cex:dateUtc="2021-07-07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2F5B6" w16cid:durableId="248FD4FC"/>
  <w16cid:commentId w16cid:paraId="3F35C489" w16cid:durableId="248FD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15BBB" w14:textId="77777777" w:rsidR="009644E6" w:rsidRDefault="009644E6">
      <w:r>
        <w:separator/>
      </w:r>
    </w:p>
  </w:endnote>
  <w:endnote w:type="continuationSeparator" w:id="0">
    <w:p w14:paraId="0465B013" w14:textId="77777777" w:rsidR="009644E6" w:rsidRDefault="0096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977C" w14:textId="77777777" w:rsidR="009644E6" w:rsidRDefault="009644E6">
      <w:r>
        <w:separator/>
      </w:r>
    </w:p>
  </w:footnote>
  <w:footnote w:type="continuationSeparator" w:id="0">
    <w:p w14:paraId="126836DF" w14:textId="77777777" w:rsidR="009644E6" w:rsidRDefault="0096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0D0E" w14:textId="4936F772" w:rsidR="001C476B" w:rsidRPr="007D7264" w:rsidRDefault="001C476B"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647C36C4" wp14:editId="0C4DF94A">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 xmlns:a="http://schemas.openxmlformats.org/drawingml/2006/main">
                <a:graphicData uri="http://schemas.microsoft.com/office/word/2010/wordprocessingGroup">
                  <wpg:wgp>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0EF250C"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BD6E8B">
      <w:rPr>
        <w:rFonts w:ascii="Arial" w:hAnsi="Arial" w:cs="Arial"/>
        <w:b/>
        <w:sz w:val="16"/>
        <w:szCs w:val="16"/>
      </w:rPr>
      <w:t>4</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3CE79B84" w14:textId="77777777" w:rsidR="001C476B" w:rsidRPr="00F25922" w:rsidRDefault="001C476B" w:rsidP="00F25922">
    <w:pPr>
      <w:pStyle w:val="REG-PHA"/>
    </w:pPr>
    <w:r w:rsidRPr="00F25922">
      <w:t>REGULATIONS</w:t>
    </w:r>
  </w:p>
  <w:p w14:paraId="1C45F118" w14:textId="77777777" w:rsidR="001C476B" w:rsidRDefault="001C476B" w:rsidP="00F86229">
    <w:pPr>
      <w:pStyle w:val="REG-PHb"/>
      <w:spacing w:after="120"/>
    </w:pPr>
    <w:r>
      <w:t>Architects’ and Quantity Surveyors’ Act 13 of 1979</w:t>
    </w:r>
  </w:p>
  <w:p w14:paraId="423EECE7" w14:textId="77777777" w:rsidR="001C476B" w:rsidRPr="00EB05F3" w:rsidRDefault="001C476B" w:rsidP="00EB05F3">
    <w:pPr>
      <w:pStyle w:val="REG-PHb"/>
    </w:pPr>
    <w:r w:rsidRPr="00EB05F3">
      <w:t>Tariff of Fees Chargeable by Architects and Quantity Surveyors</w:t>
    </w:r>
  </w:p>
  <w:p w14:paraId="031322D4" w14:textId="77777777" w:rsidR="001C476B" w:rsidRPr="00EB05F3" w:rsidRDefault="001C476B" w:rsidP="00EB05F3">
    <w:pPr>
      <w:pStyle w:val="REG-PHb"/>
      <w:rPr>
        <w:highlight w:val="cyan"/>
      </w:rPr>
    </w:pPr>
  </w:p>
  <w:p w14:paraId="102BC861" w14:textId="77777777" w:rsidR="001C476B" w:rsidRPr="00F25922" w:rsidRDefault="001C476B" w:rsidP="00F25922">
    <w:pPr>
      <w:pStyle w:val="REG-P0"/>
      <w:pBdr>
        <w:bottom w:val="single" w:sz="24" w:space="1" w:color="BFBFBF" w:themeColor="accent5" w:themeTint="66"/>
      </w:pBdr>
      <w:rPr>
        <w:strike/>
        <w:sz w:val="12"/>
        <w:szCs w:val="16"/>
      </w:rPr>
    </w:pPr>
  </w:p>
  <w:p w14:paraId="7AB2EEE7" w14:textId="77777777" w:rsidR="001C476B" w:rsidRDefault="001C476B"/>
  <w:p w14:paraId="3D841791" w14:textId="77777777" w:rsidR="001C476B" w:rsidRDefault="001C47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230F" w14:textId="77777777" w:rsidR="001C476B" w:rsidRPr="00BA6B35" w:rsidRDefault="001C476B" w:rsidP="00CE101E">
    <w:pPr>
      <w:rPr>
        <w:sz w:val="8"/>
        <w:szCs w:val="16"/>
      </w:rPr>
    </w:pPr>
    <w:r>
      <w:rPr>
        <w:sz w:val="8"/>
        <w:szCs w:val="16"/>
        <w:lang w:val="en-ZA" w:eastAsia="en-ZA"/>
      </w:rPr>
      <mc:AlternateContent>
        <mc:Choice Requires="wpg">
          <w:drawing>
            <wp:anchor distT="0" distB="0" distL="114300" distR="114300" simplePos="0" relativeHeight="251660288" behindDoc="0" locked="1" layoutInCell="0" allowOverlap="0" wp14:anchorId="26613791" wp14:editId="7A9D8B8A">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 xmlns:a="http://schemas.openxmlformats.org/drawingml/2006/main">
                <a:graphicData uri="http://schemas.microsoft.com/office/word/2010/wordprocessingGroup">
                  <wpg:wgp>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6CA564C" id="Group 6" o:spid="_x0000_s1026" style="position:absolute;margin-left:-76.05pt;margin-top:9pt;width:576.55pt;height:841.05pt;z-index:25166028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FC8D3B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15C1B7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E88941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00841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4AAE4026"/>
    <w:multiLevelType w:val="hybridMultilevel"/>
    <w:tmpl w:val="8CCCE160"/>
    <w:lvl w:ilvl="0" w:tplc="A0C2E454">
      <w:start w:val="8"/>
      <w:numFmt w:val="decimal"/>
      <w:lvlText w:val="%1."/>
      <w:lvlJc w:val="left"/>
      <w:pPr>
        <w:ind w:left="108" w:hanging="577"/>
        <w:jc w:val="right"/>
      </w:pPr>
      <w:rPr>
        <w:rFonts w:hint="default"/>
        <w:b/>
        <w:bCs/>
        <w:w w:val="107"/>
      </w:rPr>
    </w:lvl>
    <w:lvl w:ilvl="1" w:tplc="252201E4">
      <w:start w:val="1"/>
      <w:numFmt w:val="lowerRoman"/>
      <w:lvlText w:val="(%2)"/>
      <w:lvlJc w:val="left"/>
      <w:pPr>
        <w:ind w:left="1354" w:hanging="559"/>
      </w:pPr>
      <w:rPr>
        <w:rFonts w:ascii="Times New Roman" w:eastAsia="Times New Roman" w:hAnsi="Times New Roman" w:cs="Times New Roman" w:hint="default"/>
        <w:spacing w:val="-1"/>
        <w:w w:val="107"/>
        <w:sz w:val="21"/>
        <w:szCs w:val="21"/>
      </w:rPr>
    </w:lvl>
    <w:lvl w:ilvl="2" w:tplc="DD7A3D7C">
      <w:numFmt w:val="bullet"/>
      <w:lvlText w:val="•"/>
      <w:lvlJc w:val="left"/>
      <w:pPr>
        <w:ind w:left="2067" w:hanging="559"/>
      </w:pPr>
      <w:rPr>
        <w:rFonts w:hint="default"/>
      </w:rPr>
    </w:lvl>
    <w:lvl w:ilvl="3" w:tplc="1B7E22DC">
      <w:numFmt w:val="bullet"/>
      <w:lvlText w:val="•"/>
      <w:lvlJc w:val="left"/>
      <w:pPr>
        <w:ind w:left="2774" w:hanging="559"/>
      </w:pPr>
      <w:rPr>
        <w:rFonts w:hint="default"/>
      </w:rPr>
    </w:lvl>
    <w:lvl w:ilvl="4" w:tplc="B9F6B596">
      <w:numFmt w:val="bullet"/>
      <w:lvlText w:val="•"/>
      <w:lvlJc w:val="left"/>
      <w:pPr>
        <w:ind w:left="3482" w:hanging="559"/>
      </w:pPr>
      <w:rPr>
        <w:rFonts w:hint="default"/>
      </w:rPr>
    </w:lvl>
    <w:lvl w:ilvl="5" w:tplc="B2805F3C">
      <w:numFmt w:val="bullet"/>
      <w:lvlText w:val="•"/>
      <w:lvlJc w:val="left"/>
      <w:pPr>
        <w:ind w:left="4189" w:hanging="559"/>
      </w:pPr>
      <w:rPr>
        <w:rFonts w:hint="default"/>
      </w:rPr>
    </w:lvl>
    <w:lvl w:ilvl="6" w:tplc="15407760">
      <w:numFmt w:val="bullet"/>
      <w:lvlText w:val="•"/>
      <w:lvlJc w:val="left"/>
      <w:pPr>
        <w:ind w:left="4897" w:hanging="559"/>
      </w:pPr>
      <w:rPr>
        <w:rFonts w:hint="default"/>
      </w:rPr>
    </w:lvl>
    <w:lvl w:ilvl="7" w:tplc="38CEC89C">
      <w:numFmt w:val="bullet"/>
      <w:lvlText w:val="•"/>
      <w:lvlJc w:val="left"/>
      <w:pPr>
        <w:ind w:left="5604" w:hanging="559"/>
      </w:pPr>
      <w:rPr>
        <w:rFonts w:hint="default"/>
      </w:rPr>
    </w:lvl>
    <w:lvl w:ilvl="8" w:tplc="A6B88F6C">
      <w:numFmt w:val="bullet"/>
      <w:lvlText w:val="•"/>
      <w:lvlJc w:val="left"/>
      <w:pPr>
        <w:ind w:left="6312" w:hanging="559"/>
      </w:pPr>
      <w:rPr>
        <w:rFonts w:hint="default"/>
      </w:rPr>
    </w:lvl>
  </w:abstractNum>
  <w:abstractNum w:abstractNumId="6" w15:restartNumberingAfterBreak="0">
    <w:nsid w:val="4E705645"/>
    <w:multiLevelType w:val="hybridMultilevel"/>
    <w:tmpl w:val="BE008F3C"/>
    <w:lvl w:ilvl="0" w:tplc="84A2CC16">
      <w:start w:val="1"/>
      <w:numFmt w:val="lowerLetter"/>
      <w:lvlText w:val="(%1)"/>
      <w:lvlJc w:val="left"/>
      <w:pPr>
        <w:ind w:left="1283" w:hanging="574"/>
      </w:pPr>
      <w:rPr>
        <w:rFonts w:ascii="Times New Roman" w:eastAsia="Times New Roman" w:hAnsi="Times New Roman" w:cs="Times New Roman" w:hint="default"/>
        <w:spacing w:val="-1"/>
        <w:w w:val="87"/>
        <w:sz w:val="20"/>
        <w:szCs w:val="20"/>
      </w:rPr>
    </w:lvl>
    <w:lvl w:ilvl="1" w:tplc="20328A06">
      <w:numFmt w:val="bullet"/>
      <w:lvlText w:val="•"/>
      <w:lvlJc w:val="left"/>
      <w:pPr>
        <w:ind w:left="1951" w:hanging="574"/>
      </w:pPr>
      <w:rPr>
        <w:rFonts w:hint="default"/>
      </w:rPr>
    </w:lvl>
    <w:lvl w:ilvl="2" w:tplc="7A00E3D2">
      <w:numFmt w:val="bullet"/>
      <w:lvlText w:val="•"/>
      <w:lvlJc w:val="left"/>
      <w:pPr>
        <w:ind w:left="2622" w:hanging="574"/>
      </w:pPr>
      <w:rPr>
        <w:rFonts w:hint="default"/>
      </w:rPr>
    </w:lvl>
    <w:lvl w:ilvl="3" w:tplc="7EDE73C4">
      <w:numFmt w:val="bullet"/>
      <w:lvlText w:val="•"/>
      <w:lvlJc w:val="left"/>
      <w:pPr>
        <w:ind w:left="3294" w:hanging="574"/>
      </w:pPr>
      <w:rPr>
        <w:rFonts w:hint="default"/>
      </w:rPr>
    </w:lvl>
    <w:lvl w:ilvl="4" w:tplc="83E0A922">
      <w:numFmt w:val="bullet"/>
      <w:lvlText w:val="•"/>
      <w:lvlJc w:val="left"/>
      <w:pPr>
        <w:ind w:left="3965" w:hanging="574"/>
      </w:pPr>
      <w:rPr>
        <w:rFonts w:hint="default"/>
      </w:rPr>
    </w:lvl>
    <w:lvl w:ilvl="5" w:tplc="1E40CE22">
      <w:numFmt w:val="bullet"/>
      <w:lvlText w:val="•"/>
      <w:lvlJc w:val="left"/>
      <w:pPr>
        <w:ind w:left="4636" w:hanging="574"/>
      </w:pPr>
      <w:rPr>
        <w:rFonts w:hint="default"/>
      </w:rPr>
    </w:lvl>
    <w:lvl w:ilvl="6" w:tplc="736C5C3C">
      <w:numFmt w:val="bullet"/>
      <w:lvlText w:val="•"/>
      <w:lvlJc w:val="left"/>
      <w:pPr>
        <w:ind w:left="5308" w:hanging="574"/>
      </w:pPr>
      <w:rPr>
        <w:rFonts w:hint="default"/>
      </w:rPr>
    </w:lvl>
    <w:lvl w:ilvl="7" w:tplc="039A8AAC">
      <w:numFmt w:val="bullet"/>
      <w:lvlText w:val="•"/>
      <w:lvlJc w:val="left"/>
      <w:pPr>
        <w:ind w:left="5979" w:hanging="574"/>
      </w:pPr>
      <w:rPr>
        <w:rFonts w:hint="default"/>
      </w:rPr>
    </w:lvl>
    <w:lvl w:ilvl="8" w:tplc="89ECACDA">
      <w:numFmt w:val="bullet"/>
      <w:lvlText w:val="•"/>
      <w:lvlJc w:val="left"/>
      <w:pPr>
        <w:ind w:left="6650" w:hanging="574"/>
      </w:pPr>
      <w:rPr>
        <w:rFonts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MDc2MzIyMTEzMjRS0lEKTi0uzszPAykwqgUAaB4byiwAAAA="/>
  </w:docVars>
  <w:rsids>
    <w:rsidRoot w:val="008E3E82"/>
    <w:rsid w:val="00000812"/>
    <w:rsid w:val="00003730"/>
    <w:rsid w:val="00003DCF"/>
    <w:rsid w:val="00004F6B"/>
    <w:rsid w:val="000052A2"/>
    <w:rsid w:val="00005680"/>
    <w:rsid w:val="00005EE8"/>
    <w:rsid w:val="000073EE"/>
    <w:rsid w:val="0001088D"/>
    <w:rsid w:val="00010B81"/>
    <w:rsid w:val="000133A8"/>
    <w:rsid w:val="000153A8"/>
    <w:rsid w:val="000208FE"/>
    <w:rsid w:val="00022398"/>
    <w:rsid w:val="00023D2F"/>
    <w:rsid w:val="000242FF"/>
    <w:rsid w:val="00024D3E"/>
    <w:rsid w:val="0003275B"/>
    <w:rsid w:val="000330E8"/>
    <w:rsid w:val="00034949"/>
    <w:rsid w:val="00034B64"/>
    <w:rsid w:val="00034D75"/>
    <w:rsid w:val="000351E9"/>
    <w:rsid w:val="000420FF"/>
    <w:rsid w:val="00044972"/>
    <w:rsid w:val="00045A94"/>
    <w:rsid w:val="00055828"/>
    <w:rsid w:val="00055D23"/>
    <w:rsid w:val="000608EE"/>
    <w:rsid w:val="000614EF"/>
    <w:rsid w:val="00061792"/>
    <w:rsid w:val="00061E20"/>
    <w:rsid w:val="000622BB"/>
    <w:rsid w:val="00064E11"/>
    <w:rsid w:val="000668CD"/>
    <w:rsid w:val="00066DEF"/>
    <w:rsid w:val="0007067C"/>
    <w:rsid w:val="000710ED"/>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0973"/>
    <w:rsid w:val="000A2439"/>
    <w:rsid w:val="000A4D98"/>
    <w:rsid w:val="000A60F3"/>
    <w:rsid w:val="000A6259"/>
    <w:rsid w:val="000A692D"/>
    <w:rsid w:val="000B26CE"/>
    <w:rsid w:val="000B4FB6"/>
    <w:rsid w:val="000B54EB"/>
    <w:rsid w:val="000B60FA"/>
    <w:rsid w:val="000B652E"/>
    <w:rsid w:val="000C01AC"/>
    <w:rsid w:val="000C0B2C"/>
    <w:rsid w:val="000C2C80"/>
    <w:rsid w:val="000C416E"/>
    <w:rsid w:val="000C5263"/>
    <w:rsid w:val="000D1898"/>
    <w:rsid w:val="000D262F"/>
    <w:rsid w:val="000D3B3A"/>
    <w:rsid w:val="000D61EB"/>
    <w:rsid w:val="000E11A7"/>
    <w:rsid w:val="000E21FC"/>
    <w:rsid w:val="000E427F"/>
    <w:rsid w:val="000E5C90"/>
    <w:rsid w:val="000E7E9B"/>
    <w:rsid w:val="000F1E72"/>
    <w:rsid w:val="000F260D"/>
    <w:rsid w:val="000F4429"/>
    <w:rsid w:val="000F4F8D"/>
    <w:rsid w:val="000F6F3A"/>
    <w:rsid w:val="000F7993"/>
    <w:rsid w:val="00104224"/>
    <w:rsid w:val="0010747B"/>
    <w:rsid w:val="001121EE"/>
    <w:rsid w:val="001128C3"/>
    <w:rsid w:val="00115680"/>
    <w:rsid w:val="00120A00"/>
    <w:rsid w:val="00121135"/>
    <w:rsid w:val="001246C5"/>
    <w:rsid w:val="0012543A"/>
    <w:rsid w:val="001318DA"/>
    <w:rsid w:val="00133371"/>
    <w:rsid w:val="001350DA"/>
    <w:rsid w:val="00137169"/>
    <w:rsid w:val="00142743"/>
    <w:rsid w:val="00143E17"/>
    <w:rsid w:val="0014581A"/>
    <w:rsid w:val="0015104F"/>
    <w:rsid w:val="00152AB1"/>
    <w:rsid w:val="00152CA0"/>
    <w:rsid w:val="001540EB"/>
    <w:rsid w:val="001565F4"/>
    <w:rsid w:val="00157315"/>
    <w:rsid w:val="00157469"/>
    <w:rsid w:val="0015761F"/>
    <w:rsid w:val="001636EC"/>
    <w:rsid w:val="00164718"/>
    <w:rsid w:val="00165401"/>
    <w:rsid w:val="00165C2F"/>
    <w:rsid w:val="00167A40"/>
    <w:rsid w:val="00167DEB"/>
    <w:rsid w:val="001723EC"/>
    <w:rsid w:val="00174C1B"/>
    <w:rsid w:val="001761C1"/>
    <w:rsid w:val="00181A7A"/>
    <w:rsid w:val="00185772"/>
    <w:rsid w:val="00186652"/>
    <w:rsid w:val="00187D5F"/>
    <w:rsid w:val="00190529"/>
    <w:rsid w:val="001A64F1"/>
    <w:rsid w:val="001B032A"/>
    <w:rsid w:val="001B0E17"/>
    <w:rsid w:val="001B2B0A"/>
    <w:rsid w:val="001B2C14"/>
    <w:rsid w:val="001B3D40"/>
    <w:rsid w:val="001B4103"/>
    <w:rsid w:val="001B4A52"/>
    <w:rsid w:val="001B66AB"/>
    <w:rsid w:val="001C0B26"/>
    <w:rsid w:val="001C1B1A"/>
    <w:rsid w:val="001C2C10"/>
    <w:rsid w:val="001C3895"/>
    <w:rsid w:val="001C476B"/>
    <w:rsid w:val="001C69DA"/>
    <w:rsid w:val="001D0B49"/>
    <w:rsid w:val="001D22A0"/>
    <w:rsid w:val="001D269F"/>
    <w:rsid w:val="001D5D9D"/>
    <w:rsid w:val="001D6485"/>
    <w:rsid w:val="001D6D65"/>
    <w:rsid w:val="001E0140"/>
    <w:rsid w:val="001E2B91"/>
    <w:rsid w:val="001E402E"/>
    <w:rsid w:val="001E42D4"/>
    <w:rsid w:val="001F1765"/>
    <w:rsid w:val="001F2A4A"/>
    <w:rsid w:val="001F6B04"/>
    <w:rsid w:val="001F6E7C"/>
    <w:rsid w:val="0020301E"/>
    <w:rsid w:val="00203302"/>
    <w:rsid w:val="00203548"/>
    <w:rsid w:val="00204DA5"/>
    <w:rsid w:val="00205004"/>
    <w:rsid w:val="00206481"/>
    <w:rsid w:val="002075A8"/>
    <w:rsid w:val="0021001A"/>
    <w:rsid w:val="00213CA6"/>
    <w:rsid w:val="00215715"/>
    <w:rsid w:val="002208C6"/>
    <w:rsid w:val="00221C58"/>
    <w:rsid w:val="00221FA4"/>
    <w:rsid w:val="002252DD"/>
    <w:rsid w:val="00227F02"/>
    <w:rsid w:val="00230967"/>
    <w:rsid w:val="0023567D"/>
    <w:rsid w:val="00240137"/>
    <w:rsid w:val="0024286B"/>
    <w:rsid w:val="002436F5"/>
    <w:rsid w:val="00247D93"/>
    <w:rsid w:val="00251136"/>
    <w:rsid w:val="00255B09"/>
    <w:rsid w:val="00257780"/>
    <w:rsid w:val="00261EC4"/>
    <w:rsid w:val="00264EF0"/>
    <w:rsid w:val="00265308"/>
    <w:rsid w:val="002655B6"/>
    <w:rsid w:val="00267B91"/>
    <w:rsid w:val="00271040"/>
    <w:rsid w:val="00275EF6"/>
    <w:rsid w:val="00275F60"/>
    <w:rsid w:val="0028032F"/>
    <w:rsid w:val="00280DCD"/>
    <w:rsid w:val="00281318"/>
    <w:rsid w:val="00281DD8"/>
    <w:rsid w:val="0028271E"/>
    <w:rsid w:val="002831B8"/>
    <w:rsid w:val="0028406D"/>
    <w:rsid w:val="00286A4D"/>
    <w:rsid w:val="00286E57"/>
    <w:rsid w:val="002875AB"/>
    <w:rsid w:val="002907F0"/>
    <w:rsid w:val="00292131"/>
    <w:rsid w:val="002964E7"/>
    <w:rsid w:val="00297180"/>
    <w:rsid w:val="002A044B"/>
    <w:rsid w:val="002A2928"/>
    <w:rsid w:val="002A5095"/>
    <w:rsid w:val="002A534F"/>
    <w:rsid w:val="002A6CF2"/>
    <w:rsid w:val="002A7DA1"/>
    <w:rsid w:val="002B1C39"/>
    <w:rsid w:val="002B1CEC"/>
    <w:rsid w:val="002B2784"/>
    <w:rsid w:val="002B4E1F"/>
    <w:rsid w:val="002B6E05"/>
    <w:rsid w:val="002C692D"/>
    <w:rsid w:val="002D1D4C"/>
    <w:rsid w:val="002D499F"/>
    <w:rsid w:val="002D4ED3"/>
    <w:rsid w:val="002E29FE"/>
    <w:rsid w:val="002E3094"/>
    <w:rsid w:val="002E62C7"/>
    <w:rsid w:val="002F4347"/>
    <w:rsid w:val="003013D8"/>
    <w:rsid w:val="00303D74"/>
    <w:rsid w:val="00304858"/>
    <w:rsid w:val="003101CC"/>
    <w:rsid w:val="00312523"/>
    <w:rsid w:val="003210DA"/>
    <w:rsid w:val="0032744E"/>
    <w:rsid w:val="00330E75"/>
    <w:rsid w:val="0033299D"/>
    <w:rsid w:val="00332A15"/>
    <w:rsid w:val="00336B1F"/>
    <w:rsid w:val="00336DF0"/>
    <w:rsid w:val="003407C1"/>
    <w:rsid w:val="00342579"/>
    <w:rsid w:val="00342850"/>
    <w:rsid w:val="003449A3"/>
    <w:rsid w:val="0035589F"/>
    <w:rsid w:val="00355E94"/>
    <w:rsid w:val="00363299"/>
    <w:rsid w:val="00363E94"/>
    <w:rsid w:val="00366718"/>
    <w:rsid w:val="0037208D"/>
    <w:rsid w:val="003778DA"/>
    <w:rsid w:val="00377FBD"/>
    <w:rsid w:val="00380594"/>
    <w:rsid w:val="00380973"/>
    <w:rsid w:val="003837C6"/>
    <w:rsid w:val="00384605"/>
    <w:rsid w:val="003849A8"/>
    <w:rsid w:val="00384F4C"/>
    <w:rsid w:val="003905F1"/>
    <w:rsid w:val="00391944"/>
    <w:rsid w:val="00394930"/>
    <w:rsid w:val="00394B3B"/>
    <w:rsid w:val="0039528B"/>
    <w:rsid w:val="003A368C"/>
    <w:rsid w:val="003A5DAC"/>
    <w:rsid w:val="003B27DB"/>
    <w:rsid w:val="003B440D"/>
    <w:rsid w:val="003B5CF1"/>
    <w:rsid w:val="003B6581"/>
    <w:rsid w:val="003B78FD"/>
    <w:rsid w:val="003C20AF"/>
    <w:rsid w:val="003C37A0"/>
    <w:rsid w:val="003C5F5A"/>
    <w:rsid w:val="003C6423"/>
    <w:rsid w:val="003C7232"/>
    <w:rsid w:val="003D0766"/>
    <w:rsid w:val="003D233B"/>
    <w:rsid w:val="003D4009"/>
    <w:rsid w:val="003D4EAA"/>
    <w:rsid w:val="003D76EF"/>
    <w:rsid w:val="003E0DAB"/>
    <w:rsid w:val="003E10DB"/>
    <w:rsid w:val="003E2DE5"/>
    <w:rsid w:val="003E6206"/>
    <w:rsid w:val="003E76D6"/>
    <w:rsid w:val="003F1C79"/>
    <w:rsid w:val="003F1EA2"/>
    <w:rsid w:val="003F6D96"/>
    <w:rsid w:val="00401FBB"/>
    <w:rsid w:val="004042CD"/>
    <w:rsid w:val="00404B67"/>
    <w:rsid w:val="0040592F"/>
    <w:rsid w:val="00406360"/>
    <w:rsid w:val="004072E1"/>
    <w:rsid w:val="00413961"/>
    <w:rsid w:val="00416A53"/>
    <w:rsid w:val="00423963"/>
    <w:rsid w:val="00424C03"/>
    <w:rsid w:val="00426221"/>
    <w:rsid w:val="00432A91"/>
    <w:rsid w:val="00434348"/>
    <w:rsid w:val="004347BA"/>
    <w:rsid w:val="00441C1E"/>
    <w:rsid w:val="00442320"/>
    <w:rsid w:val="00442A31"/>
    <w:rsid w:val="00443021"/>
    <w:rsid w:val="00445C4F"/>
    <w:rsid w:val="00447504"/>
    <w:rsid w:val="00453046"/>
    <w:rsid w:val="00453682"/>
    <w:rsid w:val="00456986"/>
    <w:rsid w:val="00466077"/>
    <w:rsid w:val="004664DC"/>
    <w:rsid w:val="00471321"/>
    <w:rsid w:val="00474D22"/>
    <w:rsid w:val="00480485"/>
    <w:rsid w:val="00481E77"/>
    <w:rsid w:val="00483F43"/>
    <w:rsid w:val="00484E43"/>
    <w:rsid w:val="00486BF5"/>
    <w:rsid w:val="00491F36"/>
    <w:rsid w:val="00491FC6"/>
    <w:rsid w:val="004920DB"/>
    <w:rsid w:val="004928AA"/>
    <w:rsid w:val="00494F0F"/>
    <w:rsid w:val="0049507E"/>
    <w:rsid w:val="004951B3"/>
    <w:rsid w:val="004A01D1"/>
    <w:rsid w:val="004B0AB3"/>
    <w:rsid w:val="004B13C6"/>
    <w:rsid w:val="004B19EF"/>
    <w:rsid w:val="004B27A8"/>
    <w:rsid w:val="004B437B"/>
    <w:rsid w:val="004B45F6"/>
    <w:rsid w:val="004B4DE6"/>
    <w:rsid w:val="004B5A3C"/>
    <w:rsid w:val="004C1DA0"/>
    <w:rsid w:val="004C2028"/>
    <w:rsid w:val="004C25B5"/>
    <w:rsid w:val="004D0854"/>
    <w:rsid w:val="004D2FFC"/>
    <w:rsid w:val="004D3215"/>
    <w:rsid w:val="004D3DCA"/>
    <w:rsid w:val="004D67C8"/>
    <w:rsid w:val="004E2029"/>
    <w:rsid w:val="004E33FE"/>
    <w:rsid w:val="004E4868"/>
    <w:rsid w:val="004E5244"/>
    <w:rsid w:val="004F182B"/>
    <w:rsid w:val="004F535F"/>
    <w:rsid w:val="004F7202"/>
    <w:rsid w:val="004F72F4"/>
    <w:rsid w:val="004F755C"/>
    <w:rsid w:val="00501CAB"/>
    <w:rsid w:val="0050232A"/>
    <w:rsid w:val="00503297"/>
    <w:rsid w:val="0050488A"/>
    <w:rsid w:val="005074E0"/>
    <w:rsid w:val="005101FF"/>
    <w:rsid w:val="00510997"/>
    <w:rsid w:val="00512242"/>
    <w:rsid w:val="00512DA3"/>
    <w:rsid w:val="00513DF1"/>
    <w:rsid w:val="00514000"/>
    <w:rsid w:val="00515D04"/>
    <w:rsid w:val="00524ECC"/>
    <w:rsid w:val="005265C3"/>
    <w:rsid w:val="00527ABE"/>
    <w:rsid w:val="005322A1"/>
    <w:rsid w:val="00532451"/>
    <w:rsid w:val="00542D73"/>
    <w:rsid w:val="005438C8"/>
    <w:rsid w:val="00547702"/>
    <w:rsid w:val="00551408"/>
    <w:rsid w:val="0055440A"/>
    <w:rsid w:val="00557EBC"/>
    <w:rsid w:val="00560457"/>
    <w:rsid w:val="005605BE"/>
    <w:rsid w:val="0056066A"/>
    <w:rsid w:val="00563108"/>
    <w:rsid w:val="005646F3"/>
    <w:rsid w:val="005709A6"/>
    <w:rsid w:val="00572B50"/>
    <w:rsid w:val="005739CF"/>
    <w:rsid w:val="00574AEC"/>
    <w:rsid w:val="00575C4B"/>
    <w:rsid w:val="005773E7"/>
    <w:rsid w:val="00577B02"/>
    <w:rsid w:val="0058287B"/>
    <w:rsid w:val="00582A2E"/>
    <w:rsid w:val="00583761"/>
    <w:rsid w:val="00584F93"/>
    <w:rsid w:val="0058749F"/>
    <w:rsid w:val="00592D0E"/>
    <w:rsid w:val="00592E14"/>
    <w:rsid w:val="005930B1"/>
    <w:rsid w:val="00594065"/>
    <w:rsid w:val="005955EA"/>
    <w:rsid w:val="00597B78"/>
    <w:rsid w:val="005A1293"/>
    <w:rsid w:val="005A2789"/>
    <w:rsid w:val="005A33D4"/>
    <w:rsid w:val="005A38CB"/>
    <w:rsid w:val="005A44FC"/>
    <w:rsid w:val="005B23AF"/>
    <w:rsid w:val="005B343D"/>
    <w:rsid w:val="005B4215"/>
    <w:rsid w:val="005B5656"/>
    <w:rsid w:val="005B59D0"/>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8FB"/>
    <w:rsid w:val="00607964"/>
    <w:rsid w:val="0061216D"/>
    <w:rsid w:val="00613086"/>
    <w:rsid w:val="0062075A"/>
    <w:rsid w:val="0062334E"/>
    <w:rsid w:val="00625ED8"/>
    <w:rsid w:val="006271AA"/>
    <w:rsid w:val="00627536"/>
    <w:rsid w:val="00634DA7"/>
    <w:rsid w:val="006350C4"/>
    <w:rsid w:val="006353C1"/>
    <w:rsid w:val="006363B5"/>
    <w:rsid w:val="00641F69"/>
    <w:rsid w:val="00642844"/>
    <w:rsid w:val="00643711"/>
    <w:rsid w:val="0064409B"/>
    <w:rsid w:val="006441C2"/>
    <w:rsid w:val="00644FCB"/>
    <w:rsid w:val="00645C44"/>
    <w:rsid w:val="00651EA5"/>
    <w:rsid w:val="00655E3F"/>
    <w:rsid w:val="0065745C"/>
    <w:rsid w:val="00657DCF"/>
    <w:rsid w:val="00660511"/>
    <w:rsid w:val="00660B91"/>
    <w:rsid w:val="0066788D"/>
    <w:rsid w:val="00667BB6"/>
    <w:rsid w:val="00672978"/>
    <w:rsid w:val="006734AB"/>
    <w:rsid w:val="006737D3"/>
    <w:rsid w:val="0067389D"/>
    <w:rsid w:val="0067435B"/>
    <w:rsid w:val="00682D07"/>
    <w:rsid w:val="00683064"/>
    <w:rsid w:val="00687058"/>
    <w:rsid w:val="00694430"/>
    <w:rsid w:val="00694677"/>
    <w:rsid w:val="00695138"/>
    <w:rsid w:val="00697FAC"/>
    <w:rsid w:val="006A03A3"/>
    <w:rsid w:val="006A11C3"/>
    <w:rsid w:val="006A6EA7"/>
    <w:rsid w:val="006A74BC"/>
    <w:rsid w:val="006B0C23"/>
    <w:rsid w:val="006B1FEA"/>
    <w:rsid w:val="006B2458"/>
    <w:rsid w:val="006B503F"/>
    <w:rsid w:val="006B5FEA"/>
    <w:rsid w:val="006B64A8"/>
    <w:rsid w:val="006B6A8C"/>
    <w:rsid w:val="006B707C"/>
    <w:rsid w:val="006C24CB"/>
    <w:rsid w:val="006C6020"/>
    <w:rsid w:val="006D0225"/>
    <w:rsid w:val="006D15F6"/>
    <w:rsid w:val="006D1681"/>
    <w:rsid w:val="006D2E1F"/>
    <w:rsid w:val="006D3B55"/>
    <w:rsid w:val="006E3151"/>
    <w:rsid w:val="006E3515"/>
    <w:rsid w:val="006E71C9"/>
    <w:rsid w:val="006F3C41"/>
    <w:rsid w:val="006F594C"/>
    <w:rsid w:val="006F5E34"/>
    <w:rsid w:val="006F7F2A"/>
    <w:rsid w:val="00701118"/>
    <w:rsid w:val="0070344F"/>
    <w:rsid w:val="00704C6B"/>
    <w:rsid w:val="00705BD4"/>
    <w:rsid w:val="00706159"/>
    <w:rsid w:val="0070672E"/>
    <w:rsid w:val="007105C0"/>
    <w:rsid w:val="007107EE"/>
    <w:rsid w:val="00712B55"/>
    <w:rsid w:val="00713BFA"/>
    <w:rsid w:val="00714BA2"/>
    <w:rsid w:val="007166C4"/>
    <w:rsid w:val="007211A4"/>
    <w:rsid w:val="00725EDA"/>
    <w:rsid w:val="00726D6D"/>
    <w:rsid w:val="00727E48"/>
    <w:rsid w:val="00730440"/>
    <w:rsid w:val="00730E28"/>
    <w:rsid w:val="00731CFE"/>
    <w:rsid w:val="00732D8B"/>
    <w:rsid w:val="00737805"/>
    <w:rsid w:val="00740FDE"/>
    <w:rsid w:val="007418E9"/>
    <w:rsid w:val="00741B90"/>
    <w:rsid w:val="00742DEA"/>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1103"/>
    <w:rsid w:val="007826D3"/>
    <w:rsid w:val="0078543A"/>
    <w:rsid w:val="00793315"/>
    <w:rsid w:val="007A0311"/>
    <w:rsid w:val="007A389D"/>
    <w:rsid w:val="007A4003"/>
    <w:rsid w:val="007A5BC9"/>
    <w:rsid w:val="007A5F9C"/>
    <w:rsid w:val="007C01FC"/>
    <w:rsid w:val="007C2592"/>
    <w:rsid w:val="007C2742"/>
    <w:rsid w:val="007C276C"/>
    <w:rsid w:val="007C2B58"/>
    <w:rsid w:val="007C2DE7"/>
    <w:rsid w:val="007C4355"/>
    <w:rsid w:val="007C501F"/>
    <w:rsid w:val="007D4551"/>
    <w:rsid w:val="007D7264"/>
    <w:rsid w:val="007E0E68"/>
    <w:rsid w:val="007E1918"/>
    <w:rsid w:val="007E2B35"/>
    <w:rsid w:val="007E30CA"/>
    <w:rsid w:val="007E461E"/>
    <w:rsid w:val="007E4620"/>
    <w:rsid w:val="007E4FEC"/>
    <w:rsid w:val="007E5A16"/>
    <w:rsid w:val="007E5CEF"/>
    <w:rsid w:val="007E720E"/>
    <w:rsid w:val="007F010C"/>
    <w:rsid w:val="007F1473"/>
    <w:rsid w:val="007F17B5"/>
    <w:rsid w:val="007F203C"/>
    <w:rsid w:val="007F2E73"/>
    <w:rsid w:val="007F365E"/>
    <w:rsid w:val="007F45A7"/>
    <w:rsid w:val="00800A2F"/>
    <w:rsid w:val="00806ACE"/>
    <w:rsid w:val="00807638"/>
    <w:rsid w:val="00807C41"/>
    <w:rsid w:val="0081157F"/>
    <w:rsid w:val="0081198A"/>
    <w:rsid w:val="00811F4D"/>
    <w:rsid w:val="00817B5C"/>
    <w:rsid w:val="008207CD"/>
    <w:rsid w:val="0082139D"/>
    <w:rsid w:val="00821A2C"/>
    <w:rsid w:val="00822AB3"/>
    <w:rsid w:val="00825C43"/>
    <w:rsid w:val="00830937"/>
    <w:rsid w:val="00830B63"/>
    <w:rsid w:val="008312A9"/>
    <w:rsid w:val="0083145E"/>
    <w:rsid w:val="008332B7"/>
    <w:rsid w:val="008351B0"/>
    <w:rsid w:val="00836052"/>
    <w:rsid w:val="00840A44"/>
    <w:rsid w:val="0084115B"/>
    <w:rsid w:val="0084469D"/>
    <w:rsid w:val="00844B2D"/>
    <w:rsid w:val="0084502C"/>
    <w:rsid w:val="008455BB"/>
    <w:rsid w:val="008604B2"/>
    <w:rsid w:val="00861DFE"/>
    <w:rsid w:val="00862825"/>
    <w:rsid w:val="00864B7E"/>
    <w:rsid w:val="00872924"/>
    <w:rsid w:val="0087487C"/>
    <w:rsid w:val="00874F6F"/>
    <w:rsid w:val="00875062"/>
    <w:rsid w:val="008754D1"/>
    <w:rsid w:val="0087687F"/>
    <w:rsid w:val="008768CA"/>
    <w:rsid w:val="0087774D"/>
    <w:rsid w:val="00884EA8"/>
    <w:rsid w:val="00885319"/>
    <w:rsid w:val="00886238"/>
    <w:rsid w:val="00886248"/>
    <w:rsid w:val="008916EC"/>
    <w:rsid w:val="00892211"/>
    <w:rsid w:val="008938F7"/>
    <w:rsid w:val="008956EA"/>
    <w:rsid w:val="008972AF"/>
    <w:rsid w:val="00897861"/>
    <w:rsid w:val="008A053C"/>
    <w:rsid w:val="008A1A40"/>
    <w:rsid w:val="008A523D"/>
    <w:rsid w:val="008A5C2D"/>
    <w:rsid w:val="008A6BB2"/>
    <w:rsid w:val="008B015E"/>
    <w:rsid w:val="008B3137"/>
    <w:rsid w:val="008B459B"/>
    <w:rsid w:val="008B568D"/>
    <w:rsid w:val="008B5FE3"/>
    <w:rsid w:val="008C2C1A"/>
    <w:rsid w:val="008C3D3C"/>
    <w:rsid w:val="008C4F88"/>
    <w:rsid w:val="008C76CC"/>
    <w:rsid w:val="008D093F"/>
    <w:rsid w:val="008D24F3"/>
    <w:rsid w:val="008D3142"/>
    <w:rsid w:val="008D4238"/>
    <w:rsid w:val="008D4BE2"/>
    <w:rsid w:val="008D7F66"/>
    <w:rsid w:val="008E0937"/>
    <w:rsid w:val="008E3E82"/>
    <w:rsid w:val="008E415B"/>
    <w:rsid w:val="008F5963"/>
    <w:rsid w:val="00901BEF"/>
    <w:rsid w:val="009026ED"/>
    <w:rsid w:val="009030BF"/>
    <w:rsid w:val="009055B3"/>
    <w:rsid w:val="00905B0F"/>
    <w:rsid w:val="00906517"/>
    <w:rsid w:val="00906749"/>
    <w:rsid w:val="00911C6C"/>
    <w:rsid w:val="00912E3D"/>
    <w:rsid w:val="00914263"/>
    <w:rsid w:val="00914280"/>
    <w:rsid w:val="009201D0"/>
    <w:rsid w:val="009202D3"/>
    <w:rsid w:val="00922786"/>
    <w:rsid w:val="00927822"/>
    <w:rsid w:val="0093242F"/>
    <w:rsid w:val="00933C53"/>
    <w:rsid w:val="00940A34"/>
    <w:rsid w:val="00940A79"/>
    <w:rsid w:val="0094149A"/>
    <w:rsid w:val="0094272F"/>
    <w:rsid w:val="00942C21"/>
    <w:rsid w:val="009440A2"/>
    <w:rsid w:val="00944666"/>
    <w:rsid w:val="0094500C"/>
    <w:rsid w:val="00946D77"/>
    <w:rsid w:val="00954EE1"/>
    <w:rsid w:val="00960A33"/>
    <w:rsid w:val="00961AC0"/>
    <w:rsid w:val="00961F34"/>
    <w:rsid w:val="009625C4"/>
    <w:rsid w:val="00963D1F"/>
    <w:rsid w:val="009644E6"/>
    <w:rsid w:val="00965A50"/>
    <w:rsid w:val="00965D02"/>
    <w:rsid w:val="00966144"/>
    <w:rsid w:val="00967377"/>
    <w:rsid w:val="009674A5"/>
    <w:rsid w:val="00971042"/>
    <w:rsid w:val="00971EED"/>
    <w:rsid w:val="0097618B"/>
    <w:rsid w:val="009774F9"/>
    <w:rsid w:val="00981EC4"/>
    <w:rsid w:val="00982FE4"/>
    <w:rsid w:val="009830C2"/>
    <w:rsid w:val="00986938"/>
    <w:rsid w:val="00987DBD"/>
    <w:rsid w:val="009910E8"/>
    <w:rsid w:val="0099219B"/>
    <w:rsid w:val="00992BA2"/>
    <w:rsid w:val="00993997"/>
    <w:rsid w:val="009963D4"/>
    <w:rsid w:val="009968F2"/>
    <w:rsid w:val="009A393E"/>
    <w:rsid w:val="009A4278"/>
    <w:rsid w:val="009A71F3"/>
    <w:rsid w:val="009A73DE"/>
    <w:rsid w:val="009B0702"/>
    <w:rsid w:val="009B0E42"/>
    <w:rsid w:val="009B2539"/>
    <w:rsid w:val="009C20FA"/>
    <w:rsid w:val="009C6634"/>
    <w:rsid w:val="009D3443"/>
    <w:rsid w:val="009D3DBD"/>
    <w:rsid w:val="009E66C3"/>
    <w:rsid w:val="009E79BE"/>
    <w:rsid w:val="009F0F2B"/>
    <w:rsid w:val="009F33C9"/>
    <w:rsid w:val="009F382B"/>
    <w:rsid w:val="009F4A96"/>
    <w:rsid w:val="009F735A"/>
    <w:rsid w:val="009F7600"/>
    <w:rsid w:val="00A00B4B"/>
    <w:rsid w:val="00A03365"/>
    <w:rsid w:val="00A07879"/>
    <w:rsid w:val="00A11BB1"/>
    <w:rsid w:val="00A1474E"/>
    <w:rsid w:val="00A156A1"/>
    <w:rsid w:val="00A1618E"/>
    <w:rsid w:val="00A219F3"/>
    <w:rsid w:val="00A23E01"/>
    <w:rsid w:val="00A24135"/>
    <w:rsid w:val="00A25C8D"/>
    <w:rsid w:val="00A27753"/>
    <w:rsid w:val="00A32D09"/>
    <w:rsid w:val="00A359A8"/>
    <w:rsid w:val="00A41A02"/>
    <w:rsid w:val="00A43EBA"/>
    <w:rsid w:val="00A47F7C"/>
    <w:rsid w:val="00A50D6A"/>
    <w:rsid w:val="00A50FFE"/>
    <w:rsid w:val="00A519A5"/>
    <w:rsid w:val="00A6016C"/>
    <w:rsid w:val="00A60798"/>
    <w:rsid w:val="00A60BC7"/>
    <w:rsid w:val="00A62193"/>
    <w:rsid w:val="00A62552"/>
    <w:rsid w:val="00A65C80"/>
    <w:rsid w:val="00A7060B"/>
    <w:rsid w:val="00A70D02"/>
    <w:rsid w:val="00A71A8F"/>
    <w:rsid w:val="00A72347"/>
    <w:rsid w:val="00A72DCD"/>
    <w:rsid w:val="00A7574B"/>
    <w:rsid w:val="00A81C7A"/>
    <w:rsid w:val="00A81DD3"/>
    <w:rsid w:val="00A83578"/>
    <w:rsid w:val="00A86E94"/>
    <w:rsid w:val="00A927B8"/>
    <w:rsid w:val="00A92C42"/>
    <w:rsid w:val="00A9319E"/>
    <w:rsid w:val="00A93B18"/>
    <w:rsid w:val="00A95CA8"/>
    <w:rsid w:val="00A9696C"/>
    <w:rsid w:val="00A96B49"/>
    <w:rsid w:val="00A96D72"/>
    <w:rsid w:val="00AA12F7"/>
    <w:rsid w:val="00AA24D4"/>
    <w:rsid w:val="00AA2583"/>
    <w:rsid w:val="00AA41AD"/>
    <w:rsid w:val="00AB3AEC"/>
    <w:rsid w:val="00AB4E72"/>
    <w:rsid w:val="00AB5B30"/>
    <w:rsid w:val="00AB704D"/>
    <w:rsid w:val="00AB79DF"/>
    <w:rsid w:val="00AB7D0E"/>
    <w:rsid w:val="00AC0484"/>
    <w:rsid w:val="00AC0703"/>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3B06"/>
    <w:rsid w:val="00B15262"/>
    <w:rsid w:val="00B173DC"/>
    <w:rsid w:val="00B21824"/>
    <w:rsid w:val="00B2275A"/>
    <w:rsid w:val="00B22E65"/>
    <w:rsid w:val="00B23CAE"/>
    <w:rsid w:val="00B23FD0"/>
    <w:rsid w:val="00B26C33"/>
    <w:rsid w:val="00B27161"/>
    <w:rsid w:val="00B34C80"/>
    <w:rsid w:val="00B4106D"/>
    <w:rsid w:val="00B43CC2"/>
    <w:rsid w:val="00B44C4A"/>
    <w:rsid w:val="00B47524"/>
    <w:rsid w:val="00B55602"/>
    <w:rsid w:val="00B602A0"/>
    <w:rsid w:val="00B60A07"/>
    <w:rsid w:val="00B6179B"/>
    <w:rsid w:val="00B617E1"/>
    <w:rsid w:val="00B61E7F"/>
    <w:rsid w:val="00B65A83"/>
    <w:rsid w:val="00B74BEC"/>
    <w:rsid w:val="00B75EB6"/>
    <w:rsid w:val="00B77A86"/>
    <w:rsid w:val="00B819F9"/>
    <w:rsid w:val="00B839AD"/>
    <w:rsid w:val="00B8798B"/>
    <w:rsid w:val="00B87FDA"/>
    <w:rsid w:val="00B91149"/>
    <w:rsid w:val="00B93CFE"/>
    <w:rsid w:val="00B93FA9"/>
    <w:rsid w:val="00B94F2F"/>
    <w:rsid w:val="00B95DEE"/>
    <w:rsid w:val="00BA6B35"/>
    <w:rsid w:val="00BB139B"/>
    <w:rsid w:val="00BB6831"/>
    <w:rsid w:val="00BC1199"/>
    <w:rsid w:val="00BC3E37"/>
    <w:rsid w:val="00BC5040"/>
    <w:rsid w:val="00BC6658"/>
    <w:rsid w:val="00BC697F"/>
    <w:rsid w:val="00BD2B69"/>
    <w:rsid w:val="00BD2D70"/>
    <w:rsid w:val="00BD4143"/>
    <w:rsid w:val="00BD5386"/>
    <w:rsid w:val="00BD6E8B"/>
    <w:rsid w:val="00BE1305"/>
    <w:rsid w:val="00BE17CD"/>
    <w:rsid w:val="00BE1E9C"/>
    <w:rsid w:val="00BE21B2"/>
    <w:rsid w:val="00BE226B"/>
    <w:rsid w:val="00BE2F23"/>
    <w:rsid w:val="00BE6884"/>
    <w:rsid w:val="00BE6AA6"/>
    <w:rsid w:val="00BE7044"/>
    <w:rsid w:val="00BE7D34"/>
    <w:rsid w:val="00BF0042"/>
    <w:rsid w:val="00BF0967"/>
    <w:rsid w:val="00BF2D47"/>
    <w:rsid w:val="00BF39A3"/>
    <w:rsid w:val="00BF3A69"/>
    <w:rsid w:val="00BF5816"/>
    <w:rsid w:val="00BF5B36"/>
    <w:rsid w:val="00BF7300"/>
    <w:rsid w:val="00C020A0"/>
    <w:rsid w:val="00C05CAA"/>
    <w:rsid w:val="00C06D8A"/>
    <w:rsid w:val="00C07D1F"/>
    <w:rsid w:val="00C11092"/>
    <w:rsid w:val="00C1178D"/>
    <w:rsid w:val="00C12F2A"/>
    <w:rsid w:val="00C12F53"/>
    <w:rsid w:val="00C2463A"/>
    <w:rsid w:val="00C2525F"/>
    <w:rsid w:val="00C27873"/>
    <w:rsid w:val="00C30331"/>
    <w:rsid w:val="00C332FE"/>
    <w:rsid w:val="00C342A8"/>
    <w:rsid w:val="00C35013"/>
    <w:rsid w:val="00C361C3"/>
    <w:rsid w:val="00C36B55"/>
    <w:rsid w:val="00C42D38"/>
    <w:rsid w:val="00C43EA6"/>
    <w:rsid w:val="00C43F6A"/>
    <w:rsid w:val="00C51E47"/>
    <w:rsid w:val="00C5376E"/>
    <w:rsid w:val="00C546CA"/>
    <w:rsid w:val="00C56FD0"/>
    <w:rsid w:val="00C57C16"/>
    <w:rsid w:val="00C61E63"/>
    <w:rsid w:val="00C63501"/>
    <w:rsid w:val="00C63DE5"/>
    <w:rsid w:val="00C64F93"/>
    <w:rsid w:val="00C700C6"/>
    <w:rsid w:val="00C74183"/>
    <w:rsid w:val="00C74CDA"/>
    <w:rsid w:val="00C770DD"/>
    <w:rsid w:val="00C778D1"/>
    <w:rsid w:val="00C82530"/>
    <w:rsid w:val="00C827F8"/>
    <w:rsid w:val="00C838EC"/>
    <w:rsid w:val="00C863E3"/>
    <w:rsid w:val="00C87A41"/>
    <w:rsid w:val="00C90916"/>
    <w:rsid w:val="00CA0B40"/>
    <w:rsid w:val="00CA1AEE"/>
    <w:rsid w:val="00CA242D"/>
    <w:rsid w:val="00CA24CB"/>
    <w:rsid w:val="00CA31B8"/>
    <w:rsid w:val="00CA5C78"/>
    <w:rsid w:val="00CA67D0"/>
    <w:rsid w:val="00CA7724"/>
    <w:rsid w:val="00CB2BFD"/>
    <w:rsid w:val="00CB5A9E"/>
    <w:rsid w:val="00CB68BA"/>
    <w:rsid w:val="00CB6BDD"/>
    <w:rsid w:val="00CC205C"/>
    <w:rsid w:val="00CC2809"/>
    <w:rsid w:val="00CC44DB"/>
    <w:rsid w:val="00CC46AE"/>
    <w:rsid w:val="00CC7443"/>
    <w:rsid w:val="00CC767B"/>
    <w:rsid w:val="00CD13E4"/>
    <w:rsid w:val="00CD4FF8"/>
    <w:rsid w:val="00CD68CE"/>
    <w:rsid w:val="00CE0E28"/>
    <w:rsid w:val="00CE101E"/>
    <w:rsid w:val="00CE2639"/>
    <w:rsid w:val="00CE2CF5"/>
    <w:rsid w:val="00CE375D"/>
    <w:rsid w:val="00CE6415"/>
    <w:rsid w:val="00CE7759"/>
    <w:rsid w:val="00CF0879"/>
    <w:rsid w:val="00CF091B"/>
    <w:rsid w:val="00CF10D4"/>
    <w:rsid w:val="00CF1690"/>
    <w:rsid w:val="00CF17E9"/>
    <w:rsid w:val="00CF1986"/>
    <w:rsid w:val="00CF5383"/>
    <w:rsid w:val="00CF6B09"/>
    <w:rsid w:val="00D05A56"/>
    <w:rsid w:val="00D116B8"/>
    <w:rsid w:val="00D12C01"/>
    <w:rsid w:val="00D131D5"/>
    <w:rsid w:val="00D1407D"/>
    <w:rsid w:val="00D16B53"/>
    <w:rsid w:val="00D17C4F"/>
    <w:rsid w:val="00D2019F"/>
    <w:rsid w:val="00D23074"/>
    <w:rsid w:val="00D23821"/>
    <w:rsid w:val="00D263A2"/>
    <w:rsid w:val="00D31166"/>
    <w:rsid w:val="00D3653E"/>
    <w:rsid w:val="00D400F5"/>
    <w:rsid w:val="00D43726"/>
    <w:rsid w:val="00D45D02"/>
    <w:rsid w:val="00D50278"/>
    <w:rsid w:val="00D51089"/>
    <w:rsid w:val="00D51B92"/>
    <w:rsid w:val="00D5691B"/>
    <w:rsid w:val="00D574A4"/>
    <w:rsid w:val="00D62753"/>
    <w:rsid w:val="00D63698"/>
    <w:rsid w:val="00D640FD"/>
    <w:rsid w:val="00D721E9"/>
    <w:rsid w:val="00D72C2B"/>
    <w:rsid w:val="00D75950"/>
    <w:rsid w:val="00D760CE"/>
    <w:rsid w:val="00D838A0"/>
    <w:rsid w:val="00D84186"/>
    <w:rsid w:val="00D84E56"/>
    <w:rsid w:val="00D924D5"/>
    <w:rsid w:val="00D93B07"/>
    <w:rsid w:val="00D94444"/>
    <w:rsid w:val="00D9603B"/>
    <w:rsid w:val="00DA2449"/>
    <w:rsid w:val="00DA3240"/>
    <w:rsid w:val="00DA5C40"/>
    <w:rsid w:val="00DA63BE"/>
    <w:rsid w:val="00DA6DBC"/>
    <w:rsid w:val="00DA72FF"/>
    <w:rsid w:val="00DB0D02"/>
    <w:rsid w:val="00DB4BA9"/>
    <w:rsid w:val="00DB60E4"/>
    <w:rsid w:val="00DC0972"/>
    <w:rsid w:val="00DC4BEF"/>
    <w:rsid w:val="00DC4DEA"/>
    <w:rsid w:val="00DC6273"/>
    <w:rsid w:val="00DC6485"/>
    <w:rsid w:val="00DC679B"/>
    <w:rsid w:val="00DC7DA6"/>
    <w:rsid w:val="00DC7EE1"/>
    <w:rsid w:val="00DD0E75"/>
    <w:rsid w:val="00DD1832"/>
    <w:rsid w:val="00DD1A76"/>
    <w:rsid w:val="00DD2076"/>
    <w:rsid w:val="00DD76F6"/>
    <w:rsid w:val="00DD7B81"/>
    <w:rsid w:val="00DE1053"/>
    <w:rsid w:val="00DE1C5D"/>
    <w:rsid w:val="00DE4054"/>
    <w:rsid w:val="00DE59D0"/>
    <w:rsid w:val="00DE7C73"/>
    <w:rsid w:val="00DF0566"/>
    <w:rsid w:val="00DF7420"/>
    <w:rsid w:val="00E01314"/>
    <w:rsid w:val="00E0318D"/>
    <w:rsid w:val="00E032DC"/>
    <w:rsid w:val="00E040FF"/>
    <w:rsid w:val="00E0419C"/>
    <w:rsid w:val="00E0441A"/>
    <w:rsid w:val="00E04F02"/>
    <w:rsid w:val="00E04FD1"/>
    <w:rsid w:val="00E05F6F"/>
    <w:rsid w:val="00E079DE"/>
    <w:rsid w:val="00E10FCC"/>
    <w:rsid w:val="00E115E5"/>
    <w:rsid w:val="00E11D21"/>
    <w:rsid w:val="00E175F7"/>
    <w:rsid w:val="00E17D66"/>
    <w:rsid w:val="00E21488"/>
    <w:rsid w:val="00E216BA"/>
    <w:rsid w:val="00E2335D"/>
    <w:rsid w:val="00E263B2"/>
    <w:rsid w:val="00E27BEB"/>
    <w:rsid w:val="00E30634"/>
    <w:rsid w:val="00E31562"/>
    <w:rsid w:val="00E31801"/>
    <w:rsid w:val="00E329A5"/>
    <w:rsid w:val="00E33916"/>
    <w:rsid w:val="00E37354"/>
    <w:rsid w:val="00E37D15"/>
    <w:rsid w:val="00E43267"/>
    <w:rsid w:val="00E43277"/>
    <w:rsid w:val="00E5030F"/>
    <w:rsid w:val="00E5207B"/>
    <w:rsid w:val="00E54592"/>
    <w:rsid w:val="00E55495"/>
    <w:rsid w:val="00E564E2"/>
    <w:rsid w:val="00E5755F"/>
    <w:rsid w:val="00E57A03"/>
    <w:rsid w:val="00E612E3"/>
    <w:rsid w:val="00E63100"/>
    <w:rsid w:val="00E70789"/>
    <w:rsid w:val="00E70A5B"/>
    <w:rsid w:val="00E70AA9"/>
    <w:rsid w:val="00E72110"/>
    <w:rsid w:val="00E724E8"/>
    <w:rsid w:val="00E72849"/>
    <w:rsid w:val="00E77968"/>
    <w:rsid w:val="00E84C22"/>
    <w:rsid w:val="00E85219"/>
    <w:rsid w:val="00E860C7"/>
    <w:rsid w:val="00E86EEF"/>
    <w:rsid w:val="00E92345"/>
    <w:rsid w:val="00E93CB2"/>
    <w:rsid w:val="00EA3CEA"/>
    <w:rsid w:val="00EA7221"/>
    <w:rsid w:val="00EA765D"/>
    <w:rsid w:val="00EB000A"/>
    <w:rsid w:val="00EB05F3"/>
    <w:rsid w:val="00EB1BBB"/>
    <w:rsid w:val="00EB4A8B"/>
    <w:rsid w:val="00EB67E8"/>
    <w:rsid w:val="00EB7298"/>
    <w:rsid w:val="00EB7655"/>
    <w:rsid w:val="00EC5E53"/>
    <w:rsid w:val="00EC7EBD"/>
    <w:rsid w:val="00ED0F60"/>
    <w:rsid w:val="00ED1319"/>
    <w:rsid w:val="00ED2F42"/>
    <w:rsid w:val="00ED6F8F"/>
    <w:rsid w:val="00EE2247"/>
    <w:rsid w:val="00EE2CEA"/>
    <w:rsid w:val="00EE5A85"/>
    <w:rsid w:val="00EE64B7"/>
    <w:rsid w:val="00EF2826"/>
    <w:rsid w:val="00EF3E7B"/>
    <w:rsid w:val="00EF514A"/>
    <w:rsid w:val="00EF6F57"/>
    <w:rsid w:val="00F00A7F"/>
    <w:rsid w:val="00F013DB"/>
    <w:rsid w:val="00F045FC"/>
    <w:rsid w:val="00F057A4"/>
    <w:rsid w:val="00F05BA4"/>
    <w:rsid w:val="00F12548"/>
    <w:rsid w:val="00F13A6F"/>
    <w:rsid w:val="00F1418D"/>
    <w:rsid w:val="00F1491A"/>
    <w:rsid w:val="00F14A45"/>
    <w:rsid w:val="00F15137"/>
    <w:rsid w:val="00F22B1C"/>
    <w:rsid w:val="00F23EB1"/>
    <w:rsid w:val="00F25922"/>
    <w:rsid w:val="00F2620B"/>
    <w:rsid w:val="00F26A30"/>
    <w:rsid w:val="00F3037E"/>
    <w:rsid w:val="00F30385"/>
    <w:rsid w:val="00F30662"/>
    <w:rsid w:val="00F30A65"/>
    <w:rsid w:val="00F35DBE"/>
    <w:rsid w:val="00F37578"/>
    <w:rsid w:val="00F47E8A"/>
    <w:rsid w:val="00F501BA"/>
    <w:rsid w:val="00F52BC9"/>
    <w:rsid w:val="00F56201"/>
    <w:rsid w:val="00F568EE"/>
    <w:rsid w:val="00F56938"/>
    <w:rsid w:val="00F57DE9"/>
    <w:rsid w:val="00F628EC"/>
    <w:rsid w:val="00F63D12"/>
    <w:rsid w:val="00F6598F"/>
    <w:rsid w:val="00F67230"/>
    <w:rsid w:val="00F676D5"/>
    <w:rsid w:val="00F67F60"/>
    <w:rsid w:val="00F83D13"/>
    <w:rsid w:val="00F86229"/>
    <w:rsid w:val="00F869A8"/>
    <w:rsid w:val="00F870B9"/>
    <w:rsid w:val="00F87902"/>
    <w:rsid w:val="00F9429A"/>
    <w:rsid w:val="00F945A2"/>
    <w:rsid w:val="00F94E32"/>
    <w:rsid w:val="00F9665E"/>
    <w:rsid w:val="00F969A2"/>
    <w:rsid w:val="00FA1C30"/>
    <w:rsid w:val="00FA1D29"/>
    <w:rsid w:val="00FA30B6"/>
    <w:rsid w:val="00FA450D"/>
    <w:rsid w:val="00FA47D5"/>
    <w:rsid w:val="00FA6D09"/>
    <w:rsid w:val="00FA7FE6"/>
    <w:rsid w:val="00FB1BAE"/>
    <w:rsid w:val="00FB2064"/>
    <w:rsid w:val="00FB31C0"/>
    <w:rsid w:val="00FB375A"/>
    <w:rsid w:val="00FB4CB8"/>
    <w:rsid w:val="00FC25AF"/>
    <w:rsid w:val="00FC2B86"/>
    <w:rsid w:val="00FC33A9"/>
    <w:rsid w:val="00FC33C3"/>
    <w:rsid w:val="00FC6D6D"/>
    <w:rsid w:val="00FC6E5C"/>
    <w:rsid w:val="00FC7CA0"/>
    <w:rsid w:val="00FC7F67"/>
    <w:rsid w:val="00FD0B54"/>
    <w:rsid w:val="00FD0D78"/>
    <w:rsid w:val="00FD0DF3"/>
    <w:rsid w:val="00FD2F8B"/>
    <w:rsid w:val="00FD3B7A"/>
    <w:rsid w:val="00FD54D1"/>
    <w:rsid w:val="00FD6EBD"/>
    <w:rsid w:val="00FE139B"/>
    <w:rsid w:val="00FE2F5B"/>
    <w:rsid w:val="00FF1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66C362"/>
  <w15:docId w15:val="{82BE4DAE-96AE-49BC-A824-D248243A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B343D"/>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2">
    <w:name w:val="heading 2"/>
    <w:basedOn w:val="Normal"/>
    <w:link w:val="Heading2Char"/>
    <w:uiPriority w:val="9"/>
    <w:unhideWhenUsed/>
    <w:qFormat/>
    <w:rsid w:val="00592E14"/>
    <w:pPr>
      <w:widowControl w:val="0"/>
      <w:autoSpaceDE w:val="0"/>
      <w:autoSpaceDN w:val="0"/>
      <w:ind w:left="104"/>
      <w:outlineLvl w:val="1"/>
    </w:pPr>
    <w:rPr>
      <w:rFonts w:eastAsia="Times New Roman" w:cs="Times New Roman"/>
      <w:b/>
      <w:bCs/>
      <w:noProof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customStyle="1" w:styleId="Heading2Char">
    <w:name w:val="Heading 2 Char"/>
    <w:basedOn w:val="DefaultParagraphFont"/>
    <w:link w:val="Heading2"/>
    <w:uiPriority w:val="9"/>
    <w:rsid w:val="00592E14"/>
    <w:rPr>
      <w:rFonts w:ascii="Times New Roman" w:eastAsia="Times New Roman" w:hAnsi="Times New Roman" w:cs="Times New Roman"/>
      <w:b/>
      <w:bCs/>
      <w:lang w:val="en-US" w:eastAsia="en-US"/>
    </w:rPr>
  </w:style>
  <w:style w:type="character" w:styleId="Hyperlink">
    <w:name w:val="Hyperlink"/>
    <w:basedOn w:val="DefaultParagraphFont"/>
    <w:uiPriority w:val="99"/>
    <w:unhideWhenUsed/>
    <w:rsid w:val="005B343D"/>
    <w:rPr>
      <w:rFonts w:ascii="Arial" w:hAnsi="Arial"/>
      <w:color w:val="00B050"/>
      <w:sz w:val="18"/>
      <w:u w:val="single"/>
    </w:rPr>
  </w:style>
  <w:style w:type="character" w:customStyle="1" w:styleId="UnresolvedMention1">
    <w:name w:val="Unresolved Mention1"/>
    <w:basedOn w:val="DefaultParagraphFont"/>
    <w:uiPriority w:val="99"/>
    <w:semiHidden/>
    <w:unhideWhenUsed/>
    <w:rsid w:val="00584F93"/>
    <w:rPr>
      <w:color w:val="605E5C"/>
      <w:shd w:val="clear" w:color="auto" w:fill="E1DFDD"/>
    </w:rPr>
  </w:style>
  <w:style w:type="character" w:styleId="FollowedHyperlink">
    <w:name w:val="FollowedHyperlink"/>
    <w:basedOn w:val="DefaultParagraphFont"/>
    <w:uiPriority w:val="99"/>
    <w:semiHidden/>
    <w:unhideWhenUsed/>
    <w:rsid w:val="005B343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lac.org.na/laws/2003/3082.pdf" TargetMode="External"/><Relationship Id="rId4" Type="http://schemas.openxmlformats.org/officeDocument/2006/relationships/settings" Target="settings.xml"/><Relationship Id="rId9" Type="http://schemas.openxmlformats.org/officeDocument/2006/relationships/hyperlink" Target="http://www.lac.org.na/laws/1998/196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1E44-42F2-4C31-8841-C4576631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86</TotalTime>
  <Pages>31</Pages>
  <Words>9697</Words>
  <Characters>55275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Architects and Quantity Surveyor's Act 13 of 1979-Tariff 1998-250</vt:lpstr>
    </vt:vector>
  </TitlesOfParts>
  <Company/>
  <LinksUpToDate>false</LinksUpToDate>
  <CharactersWithSpaces>64843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and Quantity Surveyor's Act 13 of 1979-Tariff 1998-250</dc:title>
  <dc:creator>LAC</dc:creator>
  <cp:lastModifiedBy>Dianne Hubbard</cp:lastModifiedBy>
  <cp:revision>193</cp:revision>
  <dcterms:created xsi:type="dcterms:W3CDTF">2021-07-07T07:08:00Z</dcterms:created>
  <dcterms:modified xsi:type="dcterms:W3CDTF">2021-07-07T11:57:00Z</dcterms:modified>
</cp:coreProperties>
</file>